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60"/>
      </w:pPr>
      <w:r>
        <w:rPr>
          <w:rFonts w:ascii="Aptos" w:hAnsi="Aptos"/>
          <w:b/>
          <w:color w:val="2FD27A"/>
          <w:sz w:val="16"/>
        </w:rPr>
        <w:t>GENETICS DOMAIN | LESSON 16 OF 20 | POPULATION GENETICIST</w:t>
      </w:r>
    </w:p>
    <w:p>
      <w:pPr>
        <w:pStyle w:val="Title"/>
        <w:spacing w:after="80"/>
      </w:pPr>
      <w:r>
        <w:t>Why Is CL/P More Common in Some Groups?</w:t>
      </w:r>
    </w:p>
    <w:p>
      <w:pPr>
        <w:spacing w:after="200"/>
      </w:pPr>
      <w:r>
        <w:rPr>
          <w:rFonts w:ascii="Aptos" w:hAnsi="Aptos"/>
          <w:color w:val="5C6F65"/>
          <w:sz w:val="22"/>
        </w:rPr>
        <w:t>Why is cleft lip and/or palate far more common in some human populations than in others?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c>
          <w:tcPr>
            <w:tcW w:type="dxa" w:w="5054"/>
            <w:shd w:fill="E9F4ED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2FD27A"/>
                <w:sz w:val="16"/>
              </w:rPr>
              <w:t>CARRY FORWARD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Knockout and rescue experiments strengthen causation when loss creates a defect and restoration reverses part of it.</w:t>
            </w:r>
          </w:p>
        </w:tc>
        <w:tc>
          <w:tcPr>
            <w:tcW w:type="dxa" w:w="5054"/>
            <w:shd w:fill="FFF7D5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8A6B00"/>
                <w:sz w:val="16"/>
              </w:rPr>
              <w:t>10-YEAR TAKEAWAY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Population differences reflect allele frequencies, effect sizes, environments, and sampling, not biological ranking of groups.</w:t>
            </w:r>
          </w:p>
        </w:tc>
      </w:tr>
    </w:tbl>
    <w:p/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13"/>
        <w:gridCol w:w="2613"/>
        <w:gridCol w:w="2613"/>
        <w:gridCol w:w="2613"/>
      </w:tblGrid>
      <w:tr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differentiate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sculpts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move</w:t>
            </w:r>
          </w:p>
        </w:tc>
        <w:tc>
          <w:tcPr>
            <w:tcW w:type="dxa" w:w="2613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can go wrong</w:t>
            </w:r>
          </w:p>
        </w:tc>
      </w:tr>
    </w:tbl>
    <w:p>
      <w:pPr>
        <w:pStyle w:val="Heading1"/>
      </w:pPr>
      <w:r>
        <w:t>1. Observe the analogy before naming the biology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108960" cy="310896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08960" cy="310896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Illustration: Different gardens contain different seed mixes and weather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Which factors differ between gardens?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Why can the same seed behave differently?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What would replication across gardens test?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GENETICS LESSON 16 | RULES AND BIOLOGY MAPPING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2. Turn observations into rules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Rule 1: Separate ancestry from race labels.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Rule 2: Compare allele frequency and effect size.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Rule 3: Require replication and consider environment and sampling.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Where the analogy stops: </w:t>
      </w:r>
      <w:r>
        <w:t>Human populations are not isolated gardens, and ancestry is continuous and shared.</w:t>
      </w:r>
    </w:p>
    <w:p>
      <w:pPr>
        <w:pStyle w:val="Heading1"/>
      </w:pPr>
      <w:r>
        <w:t>3. Map the rules onto the biomedical example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063240" cy="306324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63240" cy="30632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Biomedical teaching illustration: Interpret cleft prevalence and IRF6 risk across populations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Analogy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Biology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How the relationship stays the same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Seed mix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Allele frequencies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Weather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Environmental and social context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Flower count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Population prevalence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</w:tbl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GENETICS LESSON 16 | CASE FILE AND DECISION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4. Use the case evidence</w:t>
            </w:r>
          </w:p>
        </w:tc>
      </w:tr>
    </w:tbl>
    <w:p>
      <w:pPr>
        <w:spacing w:after="0"/>
      </w:pP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rPr>
          <w:tblHeader w:val="true"/>
        </w:trPr>
        <w:tc>
          <w:tcPr>
            <w:tcW w:type="dxa" w:w="10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ID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Finding supplied in the case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Why it matters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GEN16-E1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Cleft prevalence differs among studied populations.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Population pattern is real but descriptive.</w:t>
            </w:r>
          </w:p>
        </w:tc>
      </w:tr>
      <w:tr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GEN16-E2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Risk-allele frequencies and effect estimates can differ by ancestry and study.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Genetic contribution is population-context dependent.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GEN16-E3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Within-group variation is large and ancestry groups overlap.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Population averages do not determine an individual outcome.</w:t>
            </w:r>
          </w:p>
        </w:tc>
      </w:tr>
    </w:tbl>
    <w:p>
      <w:pPr>
        <w:pStyle w:val="Heading1"/>
      </w:pPr>
      <w:r>
        <w:t>5. Make the clinical decision</w:t>
      </w:r>
    </w:p>
    <w:p>
      <w:r>
        <w:rPr>
          <w:b/>
        </w:rPr>
        <w:t xml:space="preserve">You are reviewing a public-health infographic. </w:t>
      </w:r>
      <w:r>
        <w:t>The draft says one ancestry group is genetically destined to have more clefts.</w:t>
      </w:r>
    </w:p>
    <w:p>
      <w:pPr>
        <w:ind w:left="288"/>
      </w:pPr>
      <w:r>
        <w:rPr>
          <w:b/>
        </w:rPr>
        <w:t xml:space="preserve">A. </w:t>
      </w:r>
      <w:r>
        <w:t>Replace it with frequency, context, overlap, and replication language.</w:t>
      </w:r>
    </w:p>
    <w:p>
      <w:pPr>
        <w:ind w:left="288"/>
      </w:pPr>
      <w:r>
        <w:rPr>
          <w:b/>
        </w:rPr>
        <w:t xml:space="preserve">B. </w:t>
      </w:r>
      <w:r>
        <w:t>Keep the destiny claim.</w:t>
      </w:r>
    </w:p>
    <w:p>
      <w:pPr>
        <w:ind w:left="288"/>
      </w:pPr>
      <w:r>
        <w:rPr>
          <w:b/>
        </w:rPr>
        <w:t xml:space="preserve">C. </w:t>
      </w:r>
      <w:r>
        <w:t>Erase population data entirely.</w:t>
      </w:r>
    </w:p>
    <w:p>
      <w:pPr>
        <w:spacing w:after="40"/>
      </w:pPr>
      <w:r>
        <w:rPr>
          <w:b/>
          <w:color w:val="2FD27A"/>
        </w:rPr>
        <w:t xml:space="preserve">Decision. </w:t>
      </w:r>
      <w:r>
        <w:rPr>
          <w:sz w:val="20"/>
        </w:rPr>
        <w:t>Choose the correction and cite both difference and overlap evidence.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Claim ceiling: </w:t>
      </w:r>
      <w:r>
        <w:t>You may discuss population statistics. You may not rank groups biologically or predict an individual from ancestry alone.</w:t>
      </w:r>
    </w:p>
    <w:p>
      <w:pPr>
        <w:spacing w:after="40"/>
      </w:pPr>
      <w:r>
        <w:rPr>
          <w:b/>
          <w:color w:val="2FD27A"/>
        </w:rPr>
        <w:t xml:space="preserve">Claim. </w:t>
      </w:r>
      <w:r>
        <w:rPr>
          <w:sz w:val="20"/>
        </w:rPr>
        <w:t>State the choice you can defend.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Evidence. </w:t>
      </w:r>
      <w:r>
        <w:rPr>
          <w:sz w:val="20"/>
        </w:rPr>
        <w:t>Use these labeled IDs: GEN16-E1 + GEN16-E2.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Reasoning. </w:t>
      </w:r>
      <w:r>
        <w:rPr>
          <w:sz w:val="20"/>
        </w:rPr>
        <w:t>Explain why the evidence supports the claim and stays inside the claim ceiling.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GENETICS LESSON 16 | REDUCE, REFLECT, AND PREPARE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6. Reduce the lesson to one lasting idea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Take-home. </w:t>
      </w:r>
      <w:r>
        <w:rPr>
          <w:sz w:val="20"/>
        </w:rPr>
        <w:t>Population differences reflect allele frequencies, effect sizes, environments, and sampling, not biological ranking of groups.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Why is ancestry not destiny?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What evidence should accompany a population difference?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pStyle w:val="Heading1"/>
      </w:pPr>
      <w:r>
        <w:t>Glossary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rPr>
          <w:tblHeader w:val="true"/>
        </w:trPr>
        <w:tc>
          <w:tcPr>
            <w:tcW w:type="dxa" w:w="28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Term</w:t>
            </w:r>
          </w:p>
        </w:tc>
        <w:tc>
          <w:tcPr>
            <w:tcW w:type="dxa" w:w="7272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Plain-English definition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allele frequency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How common a particular version of a gene is in a population, written as the share of all copies that are that version.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ancestry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person's population background inherited from earlier generations, which can affect how common certain DNA variants are.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odds ratio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number comparing the odds of having a factor in affected versus unaffected people; above 1 suggests the factor is associated.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liability threshold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point on a scale of combined genetic and environmental risk above which a trait such as a cleft actually appears.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gene-environment interaction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When a genetic risk and an environmental factor such as smoking or low folate combine to raise risk more than either alone.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replication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Repeating a study to see if the result holds; a key test of whether a finding is real.</w:t>
            </w:r>
          </w:p>
        </w:tc>
      </w:tr>
    </w:tbl>
    <w:p>
      <w:pPr>
        <w:pStyle w:val="Heading1"/>
      </w:pPr>
      <w:r>
        <w:t>Next lesson unlock</w:t>
      </w:r>
    </w:p>
    <w:p>
      <w:pPr>
        <w:spacing w:after="100"/>
      </w:pPr>
      <w:r>
        <w:t>We found why CL/P differs across whole populations, but population averages are not a family. Mateo's parents now ask the practical question: if they have another child, what is the chance that child also has a cleft? That family recurrence risk is what we chase next.</w:t>
      </w:r>
    </w:p>
    <w:p>
      <w:r>
        <w:rPr>
          <w:i/>
          <w:color w:val="5C6F65"/>
        </w:rPr>
        <w:t>The journal links on the lesson page are optional. Everything required for this guided-notes set is already supplied here and in the case file.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835" w:right="893" w:bottom="792" w:left="893" w:header="360" w:footer="36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rFonts w:ascii="Aptos" w:hAnsi="Aptos"/>
        <w:color w:val="5C6F65"/>
        <w:sz w:val="16"/>
      </w:rPr>
      <w:t xml:space="preserve">Page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left"/>
    </w:pPr>
    <w:r>
      <w:rPr>
        <w:rFonts w:ascii="Aptos" w:hAnsi="Aptos"/>
        <w:b/>
        <w:color w:val="2FD27A"/>
        <w:sz w:val="16"/>
      </w:rPr>
      <w:t>JOHN HAY BIOMEDICAL  |  THE BABY MATEO CASE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59" w:lineRule="auto"/>
    </w:pPr>
    <w:rPr>
      <w:rFonts w:ascii="Aptos" w:hAnsi="Aptos"/>
      <w:color w:val="06140F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100"/>
      <w:outlineLvl w:val="0"/>
    </w:pPr>
    <w:rPr>
      <w:rFonts w:asciiTheme="majorHAnsi" w:eastAsiaTheme="majorEastAsia" w:hAnsiTheme="majorHAnsi" w:cstheme="majorBidi" w:ascii="Aptos Display" w:hAnsi="Aptos Display"/>
      <w:b/>
      <w:bCs/>
      <w:color w:val="06140F"/>
      <w:sz w:val="3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20" w:after="100"/>
      <w:outlineLvl w:val="1"/>
    </w:pPr>
    <w:rPr>
      <w:rFonts w:asciiTheme="majorHAnsi" w:eastAsiaTheme="majorEastAsia" w:hAnsiTheme="majorHAnsi" w:cstheme="majorBidi" w:ascii="Aptos Display" w:hAnsi="Aptos Display"/>
      <w:b/>
      <w:bCs/>
      <w:color w:val="123426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120" w:after="100"/>
      <w:outlineLvl w:val="2"/>
    </w:pPr>
    <w:rPr>
      <w:rFonts w:asciiTheme="majorHAnsi" w:eastAsiaTheme="majorEastAsia" w:hAnsiTheme="majorHAnsi" w:cstheme="majorBidi" w:ascii="Aptos Display" w:hAnsi="Aptos Display"/>
      <w:b/>
      <w:bCs/>
      <w:color w:val="2FD27A"/>
      <w:sz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100" w:line="240" w:lineRule="auto" w:before="120"/>
      <w:contextualSpacing/>
    </w:pPr>
    <w:rPr>
      <w:rFonts w:asciiTheme="majorHAnsi" w:eastAsiaTheme="majorEastAsia" w:hAnsiTheme="majorHAnsi" w:cstheme="majorBidi" w:ascii="Aptos Display" w:hAnsi="Aptos Display"/>
      <w:b/>
      <w:color w:val="06140F"/>
      <w:spacing w:val="5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1.jpg"/><Relationship Id="rId1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Genetics Lesson 16: Guided Notes</dc:title>
  <dc:subject>Socratic guided notes aligned to the lesson deck</dc:subject>
  <dc:creator>John Hay Biomedical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