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after="60"/>
      </w:pPr>
      <w:r>
        <w:rPr>
          <w:rFonts w:ascii="Aptos" w:hAnsi="Aptos"/>
          <w:b/>
          <w:color w:val="2FD27A"/>
          <w:sz w:val="16"/>
        </w:rPr>
        <w:t>GENETICS DOMAIN | LESSON 15 OF 20 | MODEL RESEARCHER</w:t>
      </w:r>
    </w:p>
    <w:p>
      <w:pPr>
        <w:pStyle w:val="Title"/>
        <w:spacing w:after="80"/>
      </w:pPr>
      <w:r>
        <w:t>How Do We Prove the Gene Causes It?</w:t>
      </w:r>
    </w:p>
    <w:p>
      <w:pPr>
        <w:spacing w:after="200"/>
      </w:pPr>
      <w:r>
        <w:rPr>
          <w:rFonts w:ascii="Aptos" w:hAnsi="Aptos"/>
          <w:color w:val="5C6F65"/>
          <w:sz w:val="22"/>
        </w:rPr>
        <w:t>How can a scientist prove that losing IRF6 causes clefting, instead of just appearing alongside it?</w:t>
      </w:r>
    </w:p>
    <w:tbl>
      <w:tblPr>
        <w:tblW w:type="auto" w:w="0"/>
        <w:jc w:val="center"/>
        <w:tblLayout w:type="fixed"/>
        <w:tblLook w:firstColumn="1" w:firstRow="1" w:lastColumn="0" w:lastRow="0" w:noHBand="0" w:noVBand="1" w:val="04A0"/>
      </w:tblPr>
      <w:tblGrid>
        <w:gridCol w:w="5227"/>
        <w:gridCol w:w="5227"/>
      </w:tblGrid>
      <w:tr>
        <w:tc>
          <w:tcPr>
            <w:tcW w:type="dxa" w:w="5054"/>
            <w:shd w:fill="E9F4ED"/>
            <w:tcMar>
              <w:top w:w="130" w:type="dxa"/>
              <w:start w:w="145" w:type="dxa"/>
              <w:bottom w:w="130" w:type="dxa"/>
              <w:end w:w="145" w:type="dxa"/>
            </w:tcMar>
          </w:tcPr>
          <w:p>
            <w:pPr>
              <w:spacing w:after="60"/>
            </w:pPr>
            <w:r/>
            <w:r>
              <w:rPr>
                <w:rFonts w:ascii="Aptos" w:hAnsi="Aptos"/>
                <w:b/>
                <w:color w:val="2FD27A"/>
                <w:sz w:val="16"/>
              </w:rPr>
              <w:t>CARRY FORWARD</w:t>
            </w:r>
          </w:p>
          <w:p>
            <w:pPr>
              <w:spacing w:after="0"/>
            </w:pPr>
            <w:r>
              <w:rPr>
                <w:rFonts w:ascii="Aptos" w:hAnsi="Aptos"/>
                <w:b/>
                <w:color w:val="06140F"/>
                <w:sz w:val="20"/>
              </w:rPr>
              <w:t>The IRF6 network helps oral epithelial cells form periderm, preventing wrong adhesions before correct fusion.</w:t>
            </w:r>
          </w:p>
        </w:tc>
        <w:tc>
          <w:tcPr>
            <w:tcW w:type="dxa" w:w="5054"/>
            <w:shd w:fill="FFF7D5"/>
            <w:tcMar>
              <w:top w:w="130" w:type="dxa"/>
              <w:start w:w="145" w:type="dxa"/>
              <w:bottom w:w="130" w:type="dxa"/>
              <w:end w:w="145" w:type="dxa"/>
            </w:tcMar>
          </w:tcPr>
          <w:p>
            <w:pPr>
              <w:spacing w:after="60"/>
            </w:pPr>
            <w:r/>
            <w:r>
              <w:rPr>
                <w:rFonts w:ascii="Aptos" w:hAnsi="Aptos"/>
                <w:b/>
                <w:color w:val="8A6B00"/>
                <w:sz w:val="16"/>
              </w:rPr>
              <w:t>10-YEAR TAKEAWAY</w:t>
            </w:r>
          </w:p>
          <w:p>
            <w:pPr>
              <w:spacing w:after="0"/>
            </w:pPr>
            <w:r>
              <w:rPr>
                <w:rFonts w:ascii="Aptos" w:hAnsi="Aptos"/>
                <w:b/>
                <w:color w:val="06140F"/>
                <w:sz w:val="20"/>
              </w:rPr>
              <w:t>Knockout and rescue experiments strengthen causation when loss creates a defect and restoration reverses part of it.</w:t>
            </w:r>
          </w:p>
        </w:tc>
      </w:tr>
    </w:tbl>
    <w:p/>
    <w:tbl>
      <w:tblPr>
        <w:tblW w:type="auto" w:w="0"/>
        <w:jc w:val="center"/>
        <w:tblLayout w:type="fixed"/>
        <w:tblLook w:firstColumn="1" w:firstRow="1" w:lastColumn="0" w:lastRow="0" w:noHBand="0" w:noVBand="1" w:val="04A0"/>
      </w:tblPr>
      <w:tblGrid>
        <w:gridCol w:w="2613"/>
        <w:gridCol w:w="2613"/>
        <w:gridCol w:w="2613"/>
        <w:gridCol w:w="2613"/>
      </w:tblGrid>
      <w:tr>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differentiate</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Development sculpts</w:t>
            </w:r>
          </w:p>
        </w:tc>
        <w:tc>
          <w:tcPr>
            <w:tcW w:type="dxa" w:w="2613"/>
            <w:shd w:fill="E9F4ED"/>
            <w:vAlign w:val="center"/>
            <w:tcMar>
              <w:top w:w="90" w:type="dxa"/>
              <w:start w:w="110" w:type="dxa"/>
              <w:bottom w:w="90" w:type="dxa"/>
              <w:end w:w="110" w:type="dxa"/>
            </w:tcMar>
          </w:tcPr>
          <w:p>
            <w:pPr>
              <w:spacing w:after="0"/>
              <w:jc w:val="center"/>
            </w:pPr>
            <w:r/>
            <w:r>
              <w:rPr>
                <w:rFonts w:ascii="Aptos" w:hAnsi="Aptos"/>
                <w:b/>
                <w:color w:val="06140F"/>
                <w:sz w:val="17"/>
              </w:rPr>
              <w:t>Cells move</w:t>
            </w:r>
          </w:p>
        </w:tc>
        <w:tc>
          <w:tcPr>
            <w:tcW w:type="dxa" w:w="2613"/>
            <w:shd w:fill="2FD27A"/>
            <w:vAlign w:val="center"/>
            <w:tcMar>
              <w:top w:w="90" w:type="dxa"/>
              <w:start w:w="110" w:type="dxa"/>
              <w:bottom w:w="90" w:type="dxa"/>
              <w:end w:w="110" w:type="dxa"/>
            </w:tcMar>
          </w:tcPr>
          <w:p>
            <w:pPr>
              <w:spacing w:after="0"/>
              <w:jc w:val="center"/>
            </w:pPr>
            <w:r/>
            <w:r>
              <w:rPr>
                <w:rFonts w:ascii="Aptos" w:hAnsi="Aptos"/>
                <w:b/>
                <w:color w:val="06140F"/>
                <w:sz w:val="17"/>
              </w:rPr>
              <w:t>Development can go wrong</w:t>
            </w:r>
          </w:p>
        </w:tc>
      </w:tr>
    </w:tbl>
    <w:p>
      <w:pPr>
        <w:pStyle w:val="Heading1"/>
      </w:pPr>
      <w:r>
        <w:t>1. Observe the analogy before naming the biology</w:t>
      </w:r>
    </w:p>
    <w:p>
      <w:pPr>
        <w:spacing w:after="40"/>
        <w:jc w:val="center"/>
      </w:pPr>
      <w:r>
        <w:drawing>
          <wp:inline xmlns:a="http://schemas.openxmlformats.org/drawingml/2006/main" xmlns:pic="http://schemas.openxmlformats.org/drawingml/2006/picture">
            <wp:extent cx="3108960" cy="3108960"/>
            <wp:docPr id="1" name="Picture 1"/>
            <wp:cNvGraphicFramePr>
              <a:graphicFrameLocks noChangeAspect="1"/>
            </wp:cNvGraphicFramePr>
            <a:graphic>
              <a:graphicData uri="http://schemas.openxmlformats.org/drawingml/2006/picture">
                <pic:pic>
                  <pic:nvPicPr>
                    <pic:cNvPr id="0" name="image.jpg"/>
                    <pic:cNvPicPr/>
                  </pic:nvPicPr>
                  <pic:blipFill>
                    <a:blip r:embed="rId11"/>
                    <a:stretch>
                      <a:fillRect/>
                    </a:stretch>
                  </pic:blipFill>
                  <pic:spPr>
                    <a:xfrm>
                      <a:off x="0" y="0"/>
                      <a:ext cx="3108960" cy="3108960"/>
                    </a:xfrm>
                    <a:prstGeom prst="rect"/>
                  </pic:spPr>
                </pic:pic>
              </a:graphicData>
            </a:graphic>
          </wp:inline>
        </w:drawing>
      </w:r>
    </w:p>
    <w:p>
      <w:pPr>
        <w:spacing w:after="100"/>
        <w:jc w:val="center"/>
      </w:pPr>
      <w:r>
        <w:rPr>
          <w:rFonts w:ascii="Aptos" w:hAnsi="Aptos"/>
          <w:i/>
          <w:color w:val="5C6F65"/>
          <w:sz w:val="15"/>
        </w:rPr>
        <w:t>Illustration: Remove one bridge cable, then restore it</w:t>
      </w:r>
    </w:p>
    <w:p>
      <w:pPr>
        <w:spacing w:after="40"/>
      </w:pPr>
      <w:r>
        <w:rPr>
          <w:b/>
          <w:color w:val="2FD27A"/>
        </w:rPr>
        <w:t xml:space="preserve">1. </w:t>
      </w:r>
      <w:r>
        <w:rPr>
          <w:sz w:val="20"/>
        </w:rPr>
        <w:t>Which comparison shows necessity?</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Which comparison tests sufficiency or rescue?</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Why might a partial rescue still teach mechanism?</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GENETICS LESSON 15 | RULES AND BIOLOGY MAPPING</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2. Turn observations into rules</w:t>
            </w:r>
          </w:p>
        </w:tc>
      </w:tr>
    </w:tbl>
    <w:p>
      <w:pPr>
        <w:spacing w:after="0"/>
      </w:pPr>
    </w:p>
    <w:p>
      <w:pPr>
        <w:spacing w:after="40"/>
      </w:pPr>
      <w:r>
        <w:rPr>
          <w:b/>
          <w:color w:val="2FD27A"/>
        </w:rPr>
        <w:t xml:space="preserve">1. </w:t>
      </w:r>
      <w:r>
        <w:rPr>
          <w:sz w:val="20"/>
        </w:rPr>
        <w:t>Rule 1: Compare matched control and knockout groups.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Rule 2: Restore the suspected function in a defined tissue or time. Explain it in your own words.</w:t>
      </w:r>
    </w:p>
    <w:p>
      <w:pPr>
        <w:spacing w:after="20"/>
      </w:pPr>
      <w:r>
        <w:rPr>
          <w:color w:val="B8C9C0"/>
          <w:sz w:val="16"/>
        </w:rPr>
        <w:t>________________________________________________________________________________</w:t>
      </w:r>
    </w:p>
    <w:p>
      <w:pPr>
        <w:spacing w:after="40"/>
      </w:pPr>
      <w:r>
        <w:rPr>
          <w:b/>
          <w:color w:val="2FD27A"/>
        </w:rPr>
        <w:t xml:space="preserve">3. </w:t>
      </w:r>
      <w:r>
        <w:rPr>
          <w:sz w:val="20"/>
        </w:rPr>
        <w:t>Rule 3: Measure both rescue and remaining defects. Explain it in your own words.</w:t>
      </w:r>
    </w:p>
    <w:p>
      <w:pPr>
        <w:spacing w:after="20"/>
      </w:pPr>
      <w:r>
        <w:rPr>
          <w:color w:val="B8C9C0"/>
          <w:sz w:val="16"/>
        </w:rPr>
        <w:t>________________________________________________________________________________</w:t>
      </w:r>
    </w:p>
    <w:p>
      <w:r>
        <w:rPr>
          <w:b/>
          <w:color w:val="F5C542"/>
        </w:rPr>
        <w:t xml:space="preserve">Where the analogy stops: </w:t>
      </w:r>
      <w:r>
        <w:t>Genes act in networks and tissues, so restoration can be incomplete.</w:t>
      </w:r>
    </w:p>
    <w:p>
      <w:pPr>
        <w:pStyle w:val="Heading1"/>
      </w:pPr>
      <w:r>
        <w:t>3. Map the rules onto the biomedical example</w:t>
      </w:r>
    </w:p>
    <w:p>
      <w:pPr>
        <w:spacing w:after="40"/>
        <w:jc w:val="center"/>
      </w:pPr>
      <w:r>
        <w:drawing>
          <wp:inline xmlns:a="http://schemas.openxmlformats.org/drawingml/2006/main" xmlns:pic="http://schemas.openxmlformats.org/drawingml/2006/picture">
            <wp:extent cx="3063240" cy="3063240"/>
            <wp:docPr id="2" name="Picture 2"/>
            <wp:cNvGraphicFramePr>
              <a:graphicFrameLocks noChangeAspect="1"/>
            </wp:cNvGraphicFramePr>
            <a:graphic>
              <a:graphicData uri="http://schemas.openxmlformats.org/drawingml/2006/picture">
                <pic:pic>
                  <pic:nvPicPr>
                    <pic:cNvPr id="0" name="image.jpg"/>
                    <pic:cNvPicPr/>
                  </pic:nvPicPr>
                  <pic:blipFill>
                    <a:blip r:embed="rId12"/>
                    <a:stretch>
                      <a:fillRect/>
                    </a:stretch>
                  </pic:blipFill>
                  <pic:spPr>
                    <a:xfrm>
                      <a:off x="0" y="0"/>
                      <a:ext cx="3063240" cy="3063240"/>
                    </a:xfrm>
                    <a:prstGeom prst="rect"/>
                  </pic:spPr>
                </pic:pic>
              </a:graphicData>
            </a:graphic>
          </wp:inline>
        </w:drawing>
      </w:r>
    </w:p>
    <w:p>
      <w:pPr>
        <w:spacing w:after="100"/>
        <w:jc w:val="center"/>
      </w:pPr>
      <w:r>
        <w:rPr>
          <w:rFonts w:ascii="Aptos" w:hAnsi="Aptos"/>
          <w:i/>
          <w:color w:val="5C6F65"/>
          <w:sz w:val="15"/>
        </w:rPr>
        <w:t>Biomedical teaching illustration: Read IRF6 knockout and partial-rescue evidence</w:t>
      </w:r>
    </w:p>
    <w:tbl>
      <w:tblPr>
        <w:tblStyle w:val="TableGrid"/>
        <w:tblW w:type="auto" w:w="0"/>
        <w:jc w:val="center"/>
        <w:tblLook w:firstColumn="1" w:firstRow="1" w:lastColumn="0" w:lastRow="0" w:noHBand="0" w:noVBand="1" w:val="04A0"/>
      </w:tblPr>
      <w:tblGrid>
        <w:gridCol w:w="3485"/>
        <w:gridCol w:w="3485"/>
        <w:gridCol w:w="3485"/>
      </w:tblGrid>
      <w:tr>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Analogy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Biology step</w:t>
            </w:r>
          </w:p>
        </w:tc>
        <w:tc>
          <w:tcPr>
            <w:tcW w:type="dxa" w:w="3485"/>
            <w:shd w:fill="123426"/>
            <w:vAlign w:val="center"/>
            <w:tcMar>
              <w:top w:w="90" w:type="dxa"/>
              <w:start w:w="110" w:type="dxa"/>
              <w:bottom w:w="90" w:type="dxa"/>
              <w:end w:w="110" w:type="dxa"/>
            </w:tcMar>
          </w:tcPr>
          <w:p>
            <w:pPr>
              <w:spacing w:after="0"/>
              <w:jc w:val="left"/>
            </w:pPr>
            <w:r/>
            <w:r>
              <w:rPr>
                <w:rFonts w:ascii="Aptos" w:hAnsi="Aptos"/>
                <w:b/>
                <w:color w:val="F7F3E8"/>
                <w:sz w:val="17"/>
              </w:rPr>
              <w:t>How the relationship stays the same</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Intact bridge</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Wild-type control</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Cable removed</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Irf6 knockout</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r>
        <w:tc>
          <w:tcPr>
            <w:tcW w:type="dxa" w:w="3485"/>
            <w:vAlign w:val="center"/>
            <w:tcMar>
              <w:top w:w="90" w:type="dxa"/>
              <w:start w:w="110" w:type="dxa"/>
              <w:bottom w:w="90" w:type="dxa"/>
              <w:end w:w="110" w:type="dxa"/>
            </w:tcMar>
          </w:tcPr>
          <w:p>
            <w:pPr>
              <w:spacing w:after="0"/>
              <w:jc w:val="left"/>
            </w:pPr>
            <w:r/>
            <w:r>
              <w:rPr>
                <w:rFonts w:ascii="Aptos" w:hAnsi="Aptos"/>
                <w:b/>
                <w:color w:val="06140F"/>
                <w:sz w:val="17"/>
              </w:rPr>
              <w:t>Cable restored</w:t>
            </w:r>
          </w:p>
        </w:tc>
        <w:tc>
          <w:tcPr>
            <w:tcW w:type="dxa" w:w="3485"/>
            <w:vAlign w:val="center"/>
            <w:tcMar>
              <w:top w:w="90" w:type="dxa"/>
              <w:start w:w="110" w:type="dxa"/>
              <w:bottom w:w="90" w:type="dxa"/>
              <w:end w:w="110" w:type="dxa"/>
            </w:tcMar>
          </w:tcPr>
          <w:p>
            <w:pPr>
              <w:spacing w:after="0"/>
              <w:jc w:val="left"/>
            </w:pPr>
            <w:r/>
            <w:r>
              <w:rPr>
                <w:rFonts w:ascii="Aptos" w:hAnsi="Aptos"/>
                <w:b w:val="0"/>
                <w:color w:val="06140F"/>
                <w:sz w:val="17"/>
              </w:rPr>
              <w:t>Tissue-specific or mRNA rescue</w:t>
            </w:r>
          </w:p>
        </w:tc>
        <w:tc>
          <w:tcPr>
            <w:tcW w:type="dxa" w:w="3485"/>
            <w:vAlign w:val="center"/>
            <w:tcMar>
              <w:top w:w="90" w:type="dxa"/>
              <w:start w:w="110" w:type="dxa"/>
              <w:bottom w:w="90" w:type="dxa"/>
              <w:end w:w="110" w:type="dxa"/>
            </w:tcMar>
          </w:tcPr>
          <w:p>
            <w:pPr>
              <w:spacing w:after="0"/>
              <w:jc w:val="left"/>
            </w:pPr>
            <w:r/>
            <w:r>
              <w:rPr>
                <w:rFonts w:ascii="Aptos" w:hAnsi="Aptos"/>
                <w:b w:val="0"/>
                <w:color w:val="5C6F65"/>
                <w:sz w:val="17"/>
              </w:rPr>
              <w:t>________________________________</w:t>
            </w:r>
          </w:p>
        </w:tc>
      </w:tr>
    </w:tbl>
    <w:p>
      <w:r>
        <w:br w:type="page"/>
      </w:r>
    </w:p>
    <w:p>
      <w:pPr>
        <w:spacing w:after="60"/>
      </w:pPr>
      <w:r>
        <w:rPr>
          <w:rFonts w:ascii="Aptos" w:hAnsi="Aptos"/>
          <w:b/>
          <w:color w:val="2FD27A"/>
          <w:sz w:val="16"/>
        </w:rPr>
        <w:t>GENETICS LESSON 15 | CASE FILE AND DECISION</w:t>
      </w:r>
    </w:p>
    <w:tbl>
      <w:tblPr>
        <w:tblW w:type="auto" w:w="0"/>
        <w:jc w:val="center"/>
        <w:tblLayout w:type="fixed"/>
        <w:tblLook w:firstColumn="1" w:firstRow="1" w:lastColumn="0" w:lastRow="0" w:noHBand="0" w:noVBand="1" w:val="04A0"/>
      </w:tblPr>
      <w:tblGrid>
        <w:gridCol w:w="10339"/>
      </w:tblGrid>
      <w:tr>
        <w:tc>
          <w:tcPr>
            <w:tcW w:type="dxa" w:w="10454"/>
            <w:shd w:fill="06140F"/>
            <w:vAlign w:val="center"/>
            <w:tcMar>
              <w:top w:w="90" w:type="dxa"/>
              <w:start w:w="110" w:type="dxa"/>
              <w:bottom w:w="90" w:type="dxa"/>
              <w:end w:w="110" w:type="dxa"/>
            </w:tcMar>
          </w:tcPr>
          <w:p>
            <w:pPr>
              <w:spacing w:after="0"/>
              <w:jc w:val="left"/>
            </w:pPr>
            <w:r/>
            <w:r>
              <w:rPr>
                <w:rFonts w:ascii="Aptos" w:hAnsi="Aptos"/>
                <w:b/>
                <w:color w:val="F7F3E8"/>
                <w:sz w:val="20"/>
              </w:rPr>
              <w:t>4. Use the case evidence</w:t>
            </w:r>
          </w:p>
        </w:tc>
      </w:tr>
    </w:tbl>
    <w:p>
      <w:pPr>
        <w:spacing w:after="0"/>
      </w:pPr>
    </w:p>
    <w:tbl>
      <w:tblPr>
        <w:tblStyle w:val="TableGrid"/>
        <w:tblW w:type="auto" w:w="0"/>
        <w:jc w:val="center"/>
        <w:tblLayout w:type="fixed"/>
        <w:tblLook w:firstColumn="1" w:firstRow="1" w:lastColumn="0" w:lastRow="0" w:noHBand="0" w:noVBand="1" w:val="04A0"/>
      </w:tblPr>
      <w:tblGrid>
        <w:gridCol w:w="3485"/>
        <w:gridCol w:w="3485"/>
        <w:gridCol w:w="3485"/>
      </w:tblGrid>
      <w:tr>
        <w:trPr>
          <w:tblHeader w:val="true"/>
        </w:trPr>
        <w:tc>
          <w:tcPr>
            <w:tcW w:type="dxa" w:w="1080"/>
            <w:shd w:fill="123426"/>
            <w:vAlign w:val="center"/>
            <w:tcMar>
              <w:top w:w="90" w:type="dxa"/>
              <w:start w:w="110" w:type="dxa"/>
              <w:bottom w:w="90" w:type="dxa"/>
              <w:end w:w="110" w:type="dxa"/>
            </w:tcMar>
          </w:tcPr>
          <w:p>
            <w:pPr>
              <w:spacing w:after="0"/>
              <w:jc w:val="left"/>
            </w:pPr>
            <w:r/>
            <w:r>
              <w:rPr>
                <w:rFonts w:ascii="Aptos" w:hAnsi="Aptos"/>
                <w:b/>
                <w:color w:val="F7F3E8"/>
                <w:sz w:val="17"/>
              </w:rPr>
              <w:t>ID</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Finding supplied in the case</w:t>
            </w:r>
          </w:p>
        </w:tc>
        <w:tc>
          <w:tcPr>
            <w:tcW w:type="dxa" w:w="4536"/>
            <w:shd w:fill="123426"/>
            <w:vAlign w:val="center"/>
            <w:tcMar>
              <w:top w:w="90" w:type="dxa"/>
              <w:start w:w="110" w:type="dxa"/>
              <w:bottom w:w="90" w:type="dxa"/>
              <w:end w:w="110" w:type="dxa"/>
            </w:tcMar>
          </w:tcPr>
          <w:p>
            <w:pPr>
              <w:spacing w:after="0"/>
              <w:jc w:val="left"/>
            </w:pPr>
            <w:r/>
            <w:r>
              <w:rPr>
                <w:rFonts w:ascii="Aptos" w:hAnsi="Aptos"/>
                <w:b/>
                <w:color w:val="F7F3E8"/>
                <w:sz w:val="17"/>
              </w:rPr>
              <w:t>Why it matters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GEN15-E1</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Irf6 knockout models develop abnormal epithelium, oral adhesions, and cleft palate.</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Loss of function produces the predicted phenotype.</w:t>
            </w:r>
          </w:p>
        </w:tc>
      </w:tr>
      <w:tr>
        <w:tc>
          <w:tcPr>
            <w:tcW w:type="dxa" w:w="3485"/>
            <w:shd w:fill="FFFFFF"/>
            <w:vAlign w:val="center"/>
            <w:tcMar>
              <w:top w:w="90" w:type="dxa"/>
              <w:start w:w="110" w:type="dxa"/>
              <w:bottom w:w="90" w:type="dxa"/>
              <w:end w:w="110" w:type="dxa"/>
            </w:tcMar>
          </w:tcPr>
          <w:p>
            <w:pPr>
              <w:spacing w:after="0"/>
              <w:jc w:val="left"/>
            </w:pPr>
            <w:r/>
            <w:r>
              <w:rPr>
                <w:rFonts w:ascii="Aptos" w:hAnsi="Aptos"/>
                <w:b/>
                <w:color w:val="2FD27A"/>
                <w:sz w:val="17"/>
              </w:rPr>
              <w:t>GEN15-E2</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Restoring epithelial IRF6 reduces some adhesions but does not fully rescue every defect.</w:t>
            </w:r>
          </w:p>
        </w:tc>
        <w:tc>
          <w:tcPr>
            <w:tcW w:type="dxa" w:w="3485"/>
            <w:shd w:fill="FFFFFF"/>
            <w:vAlign w:val="center"/>
            <w:tcMar>
              <w:top w:w="90" w:type="dxa"/>
              <w:start w:w="110" w:type="dxa"/>
              <w:bottom w:w="90" w:type="dxa"/>
              <w:end w:w="110" w:type="dxa"/>
            </w:tcMar>
          </w:tcPr>
          <w:p>
            <w:pPr>
              <w:spacing w:after="0"/>
              <w:jc w:val="left"/>
            </w:pPr>
            <w:r/>
            <w:r>
              <w:rPr>
                <w:rFonts w:ascii="Aptos" w:hAnsi="Aptos"/>
                <w:b w:val="0"/>
                <w:color w:val="06140F"/>
                <w:sz w:val="17"/>
              </w:rPr>
              <w:t>The rescue supports an epithelial role and reveals limits.</w:t>
            </w:r>
          </w:p>
        </w:tc>
      </w:tr>
      <w:tr>
        <w:tc>
          <w:tcPr>
            <w:tcW w:type="dxa" w:w="3485"/>
            <w:shd w:fill="E9F4ED"/>
            <w:vAlign w:val="center"/>
            <w:tcMar>
              <w:top w:w="90" w:type="dxa"/>
              <w:start w:w="110" w:type="dxa"/>
              <w:bottom w:w="90" w:type="dxa"/>
              <w:end w:w="110" w:type="dxa"/>
            </w:tcMar>
          </w:tcPr>
          <w:p>
            <w:pPr>
              <w:spacing w:after="0"/>
              <w:jc w:val="left"/>
            </w:pPr>
            <w:r/>
            <w:r>
              <w:rPr>
                <w:rFonts w:ascii="Aptos" w:hAnsi="Aptos"/>
                <w:b/>
                <w:color w:val="2FD27A"/>
                <w:sz w:val="17"/>
              </w:rPr>
              <w:t>GEN15-E3</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Zebrafish rescue experiments add evidence in a second model.</w:t>
            </w:r>
          </w:p>
        </w:tc>
        <w:tc>
          <w:tcPr>
            <w:tcW w:type="dxa" w:w="3485"/>
            <w:shd w:fill="E9F4ED"/>
            <w:vAlign w:val="center"/>
            <w:tcMar>
              <w:top w:w="90" w:type="dxa"/>
              <w:start w:w="110" w:type="dxa"/>
              <w:bottom w:w="90" w:type="dxa"/>
              <w:end w:w="110" w:type="dxa"/>
            </w:tcMar>
          </w:tcPr>
          <w:p>
            <w:pPr>
              <w:spacing w:after="0"/>
              <w:jc w:val="left"/>
            </w:pPr>
            <w:r/>
            <w:r>
              <w:rPr>
                <w:rFonts w:ascii="Aptos" w:hAnsi="Aptos"/>
                <w:b w:val="0"/>
                <w:color w:val="06140F"/>
                <w:sz w:val="17"/>
              </w:rPr>
              <w:t>Cross-model replication strengthens the mechanism while remaining preclinical.</w:t>
            </w:r>
          </w:p>
        </w:tc>
      </w:tr>
    </w:tbl>
    <w:p>
      <w:pPr>
        <w:pStyle w:val="Heading1"/>
      </w:pPr>
      <w:r>
        <w:t>5. Make the clinical decision</w:t>
      </w:r>
    </w:p>
    <w:p>
      <w:r>
        <w:rPr>
          <w:b/>
        </w:rPr>
        <w:t xml:space="preserve">You are judging whether the rescue proves complete correction. </w:t>
      </w:r>
      <w:r>
        <w:t>The rescue group has fewer adhesions but still has cleft palate in several regions.</w:t>
      </w:r>
    </w:p>
    <w:p>
      <w:pPr>
        <w:ind w:left="288"/>
      </w:pPr>
      <w:r>
        <w:rPr>
          <w:b/>
        </w:rPr>
        <w:t xml:space="preserve">A. </w:t>
      </w:r>
      <w:r>
        <w:t>Call it a partial mechanistic rescue.</w:t>
      </w:r>
    </w:p>
    <w:p>
      <w:pPr>
        <w:ind w:left="288"/>
      </w:pPr>
      <w:r>
        <w:rPr>
          <w:b/>
        </w:rPr>
        <w:t xml:space="preserve">B. </w:t>
      </w:r>
      <w:r>
        <w:t>Call it a complete cure.</w:t>
      </w:r>
    </w:p>
    <w:p>
      <w:pPr>
        <w:ind w:left="288"/>
      </w:pPr>
      <w:r>
        <w:rPr>
          <w:b/>
        </w:rPr>
        <w:t xml:space="preserve">C. </w:t>
      </w:r>
      <w:r>
        <w:t>Ignore the improvement because it was incomplete.</w:t>
      </w:r>
    </w:p>
    <w:p>
      <w:pPr>
        <w:spacing w:after="40"/>
      </w:pPr>
      <w:r>
        <w:rPr>
          <w:b/>
          <w:color w:val="2FD27A"/>
        </w:rPr>
        <w:t xml:space="preserve">Decision. </w:t>
      </w:r>
      <w:r>
        <w:rPr>
          <w:sz w:val="20"/>
        </w:rPr>
        <w:t>Choose the verdict and cite both improvement and remaining phenotype.</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rPr>
          <w:b/>
          <w:color w:val="F5C542"/>
        </w:rPr>
        <w:t xml:space="preserve">Claim ceiling: </w:t>
      </w:r>
      <w:r>
        <w:t>You may support causation and a tissue role. You may not claim complete rescue or human treatment.</w:t>
      </w:r>
    </w:p>
    <w:p>
      <w:pPr>
        <w:spacing w:after="40"/>
      </w:pPr>
      <w:r>
        <w:rPr>
          <w:b/>
          <w:color w:val="2FD27A"/>
        </w:rPr>
        <w:t xml:space="preserve">Claim. </w:t>
      </w:r>
      <w:r>
        <w:rPr>
          <w:sz w:val="20"/>
        </w:rPr>
        <w:t>State the choice you can defend.</w:t>
      </w:r>
    </w:p>
    <w:p>
      <w:pPr>
        <w:spacing w:after="20"/>
      </w:pPr>
      <w:r>
        <w:rPr>
          <w:color w:val="B8C9C0"/>
          <w:sz w:val="16"/>
        </w:rPr>
        <w:t>________________________________________________________________________________</w:t>
      </w:r>
    </w:p>
    <w:p>
      <w:pPr>
        <w:spacing w:after="40"/>
      </w:pPr>
      <w:r>
        <w:rPr>
          <w:b/>
          <w:color w:val="2FD27A"/>
        </w:rPr>
        <w:t xml:space="preserve">Evidence. </w:t>
      </w:r>
      <w:r>
        <w:rPr>
          <w:sz w:val="20"/>
        </w:rPr>
        <w:t>Use these labeled IDs: GEN15-E1 + GEN15-E2.</w:t>
      </w:r>
    </w:p>
    <w:p>
      <w:pPr>
        <w:spacing w:after="20"/>
      </w:pPr>
      <w:r>
        <w:rPr>
          <w:color w:val="B8C9C0"/>
          <w:sz w:val="16"/>
        </w:rPr>
        <w:t>________________________________________________________________________________</w:t>
      </w:r>
    </w:p>
    <w:p>
      <w:pPr>
        <w:spacing w:after="40"/>
      </w:pPr>
      <w:r>
        <w:rPr>
          <w:b/>
          <w:color w:val="2FD27A"/>
        </w:rPr>
        <w:t xml:space="preserve">Reasoning. </w:t>
      </w:r>
      <w:r>
        <w:rPr>
          <w:sz w:val="20"/>
        </w:rPr>
        <w:t>Explain why the evidence supports the claim and stays inside the claim ceiling.</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r>
        <w:br w:type="page"/>
      </w:r>
    </w:p>
    <w:p>
      <w:pPr>
        <w:spacing w:after="60"/>
      </w:pPr>
      <w:r>
        <w:rPr>
          <w:rFonts w:ascii="Aptos" w:hAnsi="Aptos"/>
          <w:b/>
          <w:color w:val="2FD27A"/>
          <w:sz w:val="16"/>
        </w:rPr>
        <w:t>GENETICS LESSON 15 | REDUCE, REFLECT, AND PREPARE</w:t>
      </w:r>
    </w:p>
    <w:tbl>
      <w:tblPr>
        <w:tblW w:type="auto" w:w="0"/>
        <w:jc w:val="center"/>
        <w:tblLayout w:type="fixed"/>
        <w:tblLook w:firstColumn="1" w:firstRow="1" w:lastColumn="0" w:lastRow="0" w:noHBand="0" w:noVBand="1" w:val="04A0"/>
      </w:tblPr>
      <w:tblGrid>
        <w:gridCol w:w="10339"/>
      </w:tblGrid>
      <w:tr>
        <w:tc>
          <w:tcPr>
            <w:tcW w:type="dxa" w:w="10454"/>
            <w:shd w:fill="2FD27A"/>
            <w:vAlign w:val="center"/>
            <w:tcMar>
              <w:top w:w="90" w:type="dxa"/>
              <w:start w:w="110" w:type="dxa"/>
              <w:bottom w:w="90" w:type="dxa"/>
              <w:end w:w="110" w:type="dxa"/>
            </w:tcMar>
          </w:tcPr>
          <w:p>
            <w:pPr>
              <w:spacing w:after="0"/>
              <w:jc w:val="left"/>
            </w:pPr>
            <w:r/>
            <w:r>
              <w:rPr>
                <w:rFonts w:ascii="Aptos" w:hAnsi="Aptos"/>
                <w:b/>
                <w:color w:val="F7F3E8"/>
                <w:sz w:val="20"/>
              </w:rPr>
              <w:t>6. Reduce the lesson to one lasting idea</w:t>
            </w:r>
          </w:p>
        </w:tc>
      </w:tr>
    </w:tbl>
    <w:p>
      <w:pPr>
        <w:spacing w:after="0"/>
      </w:pPr>
    </w:p>
    <w:p>
      <w:pPr>
        <w:spacing w:after="40"/>
      </w:pPr>
      <w:r>
        <w:rPr>
          <w:b/>
          <w:color w:val="2FD27A"/>
        </w:rPr>
        <w:t xml:space="preserve">Take-home. </w:t>
      </w:r>
      <w:r>
        <w:rPr>
          <w:sz w:val="20"/>
        </w:rPr>
        <w:t>Knockout and rescue experiments strengthen causation when loss creates a defect and restoration reverses part of it.</w:t>
      </w:r>
    </w:p>
    <w:p>
      <w:pPr>
        <w:spacing w:after="20"/>
      </w:pPr>
      <w:r>
        <w:rPr>
          <w:color w:val="B8C9C0"/>
          <w:sz w:val="16"/>
        </w:rPr>
        <w:t>________________________________________________________________________________</w:t>
      </w:r>
    </w:p>
    <w:p>
      <w:pPr>
        <w:spacing w:after="20"/>
      </w:pPr>
      <w:r>
        <w:rPr>
          <w:color w:val="B8C9C0"/>
          <w:sz w:val="16"/>
        </w:rPr>
        <w:t>________________________________________________________________________________</w:t>
      </w:r>
    </w:p>
    <w:p>
      <w:pPr>
        <w:spacing w:after="40"/>
      </w:pPr>
      <w:r>
        <w:rPr>
          <w:b/>
          <w:color w:val="2FD27A"/>
        </w:rPr>
        <w:t xml:space="preserve">1. </w:t>
      </w:r>
      <w:r>
        <w:rPr>
          <w:sz w:val="20"/>
        </w:rPr>
        <w:t>What does knockout test?</w:t>
      </w:r>
    </w:p>
    <w:p>
      <w:pPr>
        <w:spacing w:after="20"/>
      </w:pPr>
      <w:r>
        <w:rPr>
          <w:color w:val="B8C9C0"/>
          <w:sz w:val="16"/>
        </w:rPr>
        <w:t>________________________________________________________________________________</w:t>
      </w:r>
    </w:p>
    <w:p>
      <w:pPr>
        <w:spacing w:after="40"/>
      </w:pPr>
      <w:r>
        <w:rPr>
          <w:b/>
          <w:color w:val="2FD27A"/>
        </w:rPr>
        <w:t xml:space="preserve">2. </w:t>
      </w:r>
      <w:r>
        <w:rPr>
          <w:sz w:val="20"/>
        </w:rPr>
        <w:t>Why is a partial rescue still informative?</w:t>
      </w:r>
    </w:p>
    <w:p>
      <w:pPr>
        <w:spacing w:after="20"/>
      </w:pPr>
      <w:r>
        <w:rPr>
          <w:color w:val="B8C9C0"/>
          <w:sz w:val="16"/>
        </w:rPr>
        <w:t>________________________________________________________________________________</w:t>
      </w:r>
    </w:p>
    <w:p>
      <w:pPr>
        <w:pStyle w:val="Heading1"/>
      </w:pPr>
      <w:r>
        <w:t>Glossary</w:t>
      </w:r>
    </w:p>
    <w:tbl>
      <w:tblPr>
        <w:tblStyle w:val="TableGrid"/>
        <w:tblW w:type="auto" w:w="0"/>
        <w:jc w:val="center"/>
        <w:tblLayout w:type="fixed"/>
        <w:tblLook w:firstColumn="1" w:firstRow="1" w:lastColumn="0" w:lastRow="0" w:noHBand="0" w:noVBand="1" w:val="04A0"/>
      </w:tblPr>
      <w:tblGrid>
        <w:gridCol w:w="5227"/>
        <w:gridCol w:w="5227"/>
      </w:tblGrid>
      <w:tr>
        <w:trPr>
          <w:tblHeader w:val="true"/>
        </w:trPr>
        <w:tc>
          <w:tcPr>
            <w:tcW w:type="dxa" w:w="2880"/>
            <w:shd w:fill="123426"/>
            <w:vAlign w:val="center"/>
            <w:tcMar>
              <w:top w:w="90" w:type="dxa"/>
              <w:start w:w="110" w:type="dxa"/>
              <w:bottom w:w="90" w:type="dxa"/>
              <w:end w:w="110" w:type="dxa"/>
            </w:tcMar>
          </w:tcPr>
          <w:p>
            <w:pPr>
              <w:spacing w:after="0"/>
              <w:jc w:val="left"/>
            </w:pPr>
            <w:r/>
            <w:r>
              <w:rPr>
                <w:rFonts w:ascii="Aptos" w:hAnsi="Aptos"/>
                <w:b/>
                <w:color w:val="F7F3E8"/>
                <w:sz w:val="17"/>
              </w:rPr>
              <w:t>Term</w:t>
            </w:r>
          </w:p>
        </w:tc>
        <w:tc>
          <w:tcPr>
            <w:tcW w:type="dxa" w:w="7272"/>
            <w:shd w:fill="123426"/>
            <w:vAlign w:val="center"/>
            <w:tcMar>
              <w:top w:w="90" w:type="dxa"/>
              <w:start w:w="110" w:type="dxa"/>
              <w:bottom w:w="90" w:type="dxa"/>
              <w:end w:w="110" w:type="dxa"/>
            </w:tcMar>
          </w:tcPr>
          <w:p>
            <w:pPr>
              <w:spacing w:after="0"/>
              <w:jc w:val="left"/>
            </w:pPr>
            <w:r/>
            <w:r>
              <w:rPr>
                <w:rFonts w:ascii="Aptos" w:hAnsi="Aptos"/>
                <w:b/>
                <w:color w:val="F7F3E8"/>
                <w:sz w:val="17"/>
              </w:rPr>
              <w:t>Plain-English definition</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model organism</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 species, such as zebrafish or mouse, studied because its biology is similar enough to ours to teach us about human development and disease.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knockout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An organism or cell engineered to have a specific gene switched off, used to reveal what that gene normally does.</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rescue experiment</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Adding a working gene back into a mutant to see if it restores the normal trait, which proves that gene was responsible.</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causation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When one factor actually brings about another, shown by controlled evidence rather than by the two simply appearing together.</w:t>
            </w:r>
          </w:p>
        </w:tc>
      </w:tr>
      <w:tr>
        <w:tc>
          <w:tcPr>
            <w:tcW w:type="dxa" w:w="5227"/>
            <w:shd w:fill="E9F4ED"/>
            <w:vAlign w:val="center"/>
            <w:tcMar>
              <w:top w:w="90" w:type="dxa"/>
              <w:start w:w="110" w:type="dxa"/>
              <w:bottom w:w="90" w:type="dxa"/>
              <w:end w:w="110" w:type="dxa"/>
            </w:tcMar>
          </w:tcPr>
          <w:p>
            <w:pPr>
              <w:spacing w:after="0"/>
              <w:jc w:val="left"/>
            </w:pPr>
            <w:r/>
            <w:r>
              <w:rPr>
                <w:rFonts w:ascii="Aptos" w:hAnsi="Aptos"/>
                <w:b/>
                <w:color w:val="06140F"/>
                <w:sz w:val="17"/>
              </w:rPr>
              <w:t>correlation</w:t>
            </w:r>
          </w:p>
        </w:tc>
        <w:tc>
          <w:tcPr>
            <w:tcW w:type="dxa" w:w="5227"/>
            <w:vAlign w:val="center"/>
            <w:tcMar>
              <w:top w:w="90" w:type="dxa"/>
              <w:start w:w="110" w:type="dxa"/>
              <w:bottom w:w="90" w:type="dxa"/>
              <w:end w:w="110" w:type="dxa"/>
            </w:tcMar>
          </w:tcPr>
          <w:p>
            <w:pPr>
              <w:spacing w:after="0"/>
              <w:jc w:val="left"/>
            </w:pPr>
            <w:r/>
            <w:r>
              <w:rPr>
                <w:rFonts w:ascii="Aptos" w:hAnsi="Aptos"/>
                <w:b w:val="0"/>
                <w:color w:val="06140F"/>
                <w:sz w:val="17"/>
              </w:rPr>
              <w:t>Two things tending to occur together, which does not by itself prove that one causes the other.</w:t>
            </w:r>
          </w:p>
        </w:tc>
      </w:tr>
    </w:tbl>
    <w:p>
      <w:pPr>
        <w:pStyle w:val="Heading1"/>
      </w:pPr>
      <w:r>
        <w:t>Next lesson unlock</w:t>
      </w:r>
    </w:p>
    <w:p>
      <w:pPr>
        <w:spacing w:after="100"/>
      </w:pPr>
      <w:r>
        <w:t>We proved IRF6 loss causes clefting using knockout and rescue in mouse and zebrafish, so we now understand how the cleft happens in one embryo. But why is cleft lip and palate far more common in some human populations than in others? We chase that next, when the population geneticist takes the seat.</w:t>
      </w:r>
    </w:p>
    <w:p>
      <w:r>
        <w:rPr>
          <w:i/>
          <w:color w:val="5C6F65"/>
        </w:rPr>
        <w:t>The journal links on the lesson page are optional. Everything required for this guided-notes set is already supplied here and in the case file.</w:t>
      </w:r>
    </w:p>
    <w:sectPr w:rsidR="00FC693F" w:rsidRPr="0006063C" w:rsidSect="00034616">
      <w:headerReference w:type="default" r:id="rId9"/>
      <w:footerReference w:type="default" r:id="rId10"/>
      <w:pgSz w:w="12240" w:h="15840"/>
      <w:pgMar w:top="835" w:right="893" w:bottom="792" w:left="893" w:header="360" w:footer="36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Footer"/>
      <w:jc w:val="right"/>
    </w:pPr>
    <w:r>
      <w:rPr>
        <w:rFonts w:ascii="Aptos" w:hAnsi="Aptos"/>
        <w:color w:val="5C6F65"/>
        <w:sz w:val="16"/>
      </w:rPr>
      <w:t xml:space="preserve">Page </w:t>
    </w:r>
    <w:fldSimple w:instr="PAGE"/>
  </w:p>
</w:ftr>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spacing w:after="0"/>
      <w:jc w:val="left"/>
    </w:pPr>
    <w:r>
      <w:rPr>
        <w:rFonts w:ascii="Aptos" w:hAnsi="Aptos"/>
        <w:b/>
        <w:color w:val="2FD27A"/>
        <w:sz w:val="16"/>
      </w:rPr>
      <w:t>JOHN HAY BIOMEDICAL  |  THE BABY MATEO CASE</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00" w:line="259" w:lineRule="auto"/>
    </w:pPr>
    <w:rPr>
      <w:rFonts w:ascii="Aptos" w:hAnsi="Aptos"/>
      <w:color w:val="06140F"/>
      <w:sz w:val="20"/>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120" w:after="100"/>
      <w:outlineLvl w:val="0"/>
    </w:pPr>
    <w:rPr>
      <w:rFonts w:asciiTheme="majorHAnsi" w:eastAsiaTheme="majorEastAsia" w:hAnsiTheme="majorHAnsi" w:cstheme="majorBidi" w:ascii="Aptos Display" w:hAnsi="Aptos Display"/>
      <w:b/>
      <w:bCs/>
      <w:color w:val="06140F"/>
      <w:sz w:val="38"/>
      <w:szCs w:val="28"/>
    </w:rPr>
  </w:style>
  <w:style w:type="paragraph" w:styleId="Heading2">
    <w:name w:val="heading 2"/>
    <w:basedOn w:val="Normal"/>
    <w:next w:val="Normal"/>
    <w:link w:val="Heading2Char"/>
    <w:uiPriority w:val="9"/>
    <w:unhideWhenUsed/>
    <w:qFormat/>
    <w:rsid w:val="00FC693F"/>
    <w:pPr>
      <w:keepNext/>
      <w:keepLines/>
      <w:spacing w:before="120" w:after="100"/>
      <w:outlineLvl w:val="1"/>
    </w:pPr>
    <w:rPr>
      <w:rFonts w:asciiTheme="majorHAnsi" w:eastAsiaTheme="majorEastAsia" w:hAnsiTheme="majorHAnsi" w:cstheme="majorBidi" w:ascii="Aptos Display" w:hAnsi="Aptos Display"/>
      <w:b/>
      <w:bCs/>
      <w:color w:val="123426"/>
      <w:sz w:val="26"/>
      <w:szCs w:val="26"/>
    </w:rPr>
  </w:style>
  <w:style w:type="paragraph" w:styleId="Heading3">
    <w:name w:val="heading 3"/>
    <w:basedOn w:val="Normal"/>
    <w:next w:val="Normal"/>
    <w:link w:val="Heading3Char"/>
    <w:uiPriority w:val="9"/>
    <w:unhideWhenUsed/>
    <w:qFormat/>
    <w:rsid w:val="00FC693F"/>
    <w:pPr>
      <w:keepNext/>
      <w:keepLines/>
      <w:spacing w:before="120" w:after="100"/>
      <w:outlineLvl w:val="2"/>
    </w:pPr>
    <w:rPr>
      <w:rFonts w:asciiTheme="majorHAnsi" w:eastAsiaTheme="majorEastAsia" w:hAnsiTheme="majorHAnsi" w:cstheme="majorBidi" w:ascii="Aptos Display" w:hAnsi="Aptos Display"/>
      <w:b/>
      <w:bCs/>
      <w:color w:val="2FD27A"/>
      <w:sz w:val="2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100" w:line="240" w:lineRule="auto" w:before="120"/>
      <w:contextualSpacing/>
    </w:pPr>
    <w:rPr>
      <w:rFonts w:asciiTheme="majorHAnsi" w:eastAsiaTheme="majorEastAsia" w:hAnsiTheme="majorHAnsi" w:cstheme="majorBidi" w:ascii="Aptos Display" w:hAnsi="Aptos Display"/>
      <w:b/>
      <w:color w:val="06140F"/>
      <w:spacing w:val="5"/>
      <w:kern w:val="28"/>
      <w:sz w:val="5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image" Target="media/image1.jpg"/><Relationship Id="rId12"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Genetics Lesson 15: Guided Notes</dc:title>
  <dc:subject>Socratic guided notes aligned to the lesson deck</dc:subject>
  <dc:creator>John Hay Biomedical</dc:creator>
  <cp:keywords/>
  <dc:description>generated by python-docx</dc:description>
  <cp:lastModifiedBy/>
  <cp:revision>1</cp:revision>
  <dcterms:created xsi:type="dcterms:W3CDTF">2013-12-23T23:15:00Z</dcterms:created>
  <dcterms:modified xsi:type="dcterms:W3CDTF">2013-12-23T23:15:00Z</dcterms:modified>
  <cp:category/>
</cp:coreProperties>
</file>