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60"/>
      </w:pPr>
      <w:r>
        <w:rPr>
          <w:rFonts w:ascii="Aptos" w:hAnsi="Aptos"/>
          <w:b/>
          <w:color w:val="2FD27A"/>
          <w:sz w:val="16"/>
        </w:rPr>
        <w:t>GENETICS DOMAIN | LESSON 8 OF 20 | VARIANT ANALYST</w:t>
      </w:r>
    </w:p>
    <w:p>
      <w:pPr>
        <w:pStyle w:val="Title"/>
        <w:spacing w:after="80"/>
      </w:pPr>
      <w:r>
        <w:t>One Gene, Two Diseases</w:t>
      </w:r>
    </w:p>
    <w:p>
      <w:pPr>
        <w:spacing w:after="200"/>
      </w:pPr>
      <w:r>
        <w:rPr>
          <w:rFonts w:ascii="Aptos" w:hAnsi="Aptos"/>
          <w:color w:val="5C6F65"/>
          <w:sz w:val="22"/>
        </w:rPr>
        <w:t>Why does one gene cause two different diseases?</w:t>
      </w:r>
    </w:p>
    <w:tbl>
      <w:tblPr>
        <w:tblW w:type="auto" w:w="0"/>
        <w:jc w:val="center"/>
        <w:tblLayout w:type="fixed"/>
        <w:tblLook w:firstColumn="1" w:firstRow="1" w:lastColumn="0" w:lastRow="0" w:noHBand="0" w:noVBand="1" w:val="04A0"/>
      </w:tblPr>
      <w:tblGrid>
        <w:gridCol w:w="5227"/>
        <w:gridCol w:w="5227"/>
      </w:tblGrid>
      <w:tr>
        <w:tc>
          <w:tcPr>
            <w:tcW w:type="dxa" w:w="5054"/>
            <w:shd w:fill="E9F4ED"/>
            <w:tcMar>
              <w:top w:w="130" w:type="dxa"/>
              <w:start w:w="145" w:type="dxa"/>
              <w:bottom w:w="130" w:type="dxa"/>
              <w:end w:w="145" w:type="dxa"/>
            </w:tcMar>
          </w:tcPr>
          <w:p>
            <w:pPr>
              <w:spacing w:after="60"/>
            </w:pPr>
            <w:r/>
            <w:r>
              <w:rPr>
                <w:rFonts w:ascii="Aptos" w:hAnsi="Aptos"/>
                <w:b/>
                <w:color w:val="2FD27A"/>
                <w:sz w:val="16"/>
              </w:rPr>
              <w:t>CARRY FORWARD</w:t>
            </w:r>
          </w:p>
          <w:p>
            <w:pPr>
              <w:spacing w:after="0"/>
            </w:pPr>
            <w:r>
              <w:rPr>
                <w:rFonts w:ascii="Aptos" w:hAnsi="Aptos"/>
                <w:b/>
                <w:color w:val="06140F"/>
                <w:sz w:val="20"/>
              </w:rPr>
              <w:t>DNA variants change proteins in different ways, so variant type is evidence about mechanism, not a verdict by itself.</w:t>
            </w:r>
          </w:p>
        </w:tc>
        <w:tc>
          <w:tcPr>
            <w:tcW w:type="dxa" w:w="5054"/>
            <w:shd w:fill="FFF7D5"/>
            <w:tcMar>
              <w:top w:w="130" w:type="dxa"/>
              <w:start w:w="145" w:type="dxa"/>
              <w:bottom w:w="130" w:type="dxa"/>
              <w:end w:w="145" w:type="dxa"/>
            </w:tcMar>
          </w:tcPr>
          <w:p>
            <w:pPr>
              <w:spacing w:after="60"/>
            </w:pPr>
            <w:r/>
            <w:r>
              <w:rPr>
                <w:rFonts w:ascii="Aptos" w:hAnsi="Aptos"/>
                <w:b/>
                <w:color w:val="8A6B00"/>
                <w:sz w:val="16"/>
              </w:rPr>
              <w:t>10-YEAR TAKEAWAY</w:t>
            </w:r>
          </w:p>
          <w:p>
            <w:pPr>
              <w:spacing w:after="0"/>
            </w:pPr>
            <w:r>
              <w:rPr>
                <w:rFonts w:ascii="Aptos" w:hAnsi="Aptos"/>
                <w:b/>
                <w:color w:val="06140F"/>
                <w:sz w:val="20"/>
              </w:rPr>
              <w:t>Variant location can change mechanism: reduced dosage and altered DNA binding can produce different IRF6-related outcomes.</w:t>
            </w:r>
          </w:p>
        </w:tc>
      </w:tr>
    </w:tbl>
    <w:p/>
    <w:tbl>
      <w:tblPr>
        <w:tblW w:type="auto" w:w="0"/>
        <w:jc w:val="center"/>
        <w:tblLayout w:type="fixed"/>
        <w:tblLook w:firstColumn="1" w:firstRow="1" w:lastColumn="0" w:lastRow="0" w:noHBand="0" w:noVBand="1" w:val="04A0"/>
      </w:tblPr>
      <w:tblGrid>
        <w:gridCol w:w="2613"/>
        <w:gridCol w:w="2613"/>
        <w:gridCol w:w="2613"/>
        <w:gridCol w:w="2613"/>
      </w:tblGrid>
      <w:tr>
        <w:tc>
          <w:tcPr>
            <w:tcW w:type="dxa" w:w="2613"/>
            <w:shd w:fill="2FD27A"/>
            <w:vAlign w:val="center"/>
            <w:tcMar>
              <w:top w:w="90" w:type="dxa"/>
              <w:start w:w="110" w:type="dxa"/>
              <w:bottom w:w="90" w:type="dxa"/>
              <w:end w:w="110" w:type="dxa"/>
            </w:tcMar>
          </w:tcPr>
          <w:p>
            <w:pPr>
              <w:spacing w:after="0"/>
              <w:jc w:val="center"/>
            </w:pPr>
            <w:r/>
            <w:r>
              <w:rPr>
                <w:rFonts w:ascii="Aptos" w:hAnsi="Aptos"/>
                <w:b/>
                <w:color w:val="06140F"/>
                <w:sz w:val="17"/>
              </w:rPr>
              <w:t>Cells differentiate</w:t>
            </w:r>
          </w:p>
        </w:tc>
        <w:tc>
          <w:tcPr>
            <w:tcW w:type="dxa" w:w="2613"/>
            <w:shd w:fill="E9F4ED"/>
            <w:vAlign w:val="center"/>
            <w:tcMar>
              <w:top w:w="90" w:type="dxa"/>
              <w:start w:w="110" w:type="dxa"/>
              <w:bottom w:w="90" w:type="dxa"/>
              <w:end w:w="110" w:type="dxa"/>
            </w:tcMar>
          </w:tcPr>
          <w:p>
            <w:pPr>
              <w:spacing w:after="0"/>
              <w:jc w:val="center"/>
            </w:pPr>
            <w:r/>
            <w:r>
              <w:rPr>
                <w:rFonts w:ascii="Aptos" w:hAnsi="Aptos"/>
                <w:b/>
                <w:color w:val="06140F"/>
                <w:sz w:val="17"/>
              </w:rPr>
              <w:t>Development sculpts</w:t>
            </w:r>
          </w:p>
        </w:tc>
        <w:tc>
          <w:tcPr>
            <w:tcW w:type="dxa" w:w="2613"/>
            <w:shd w:fill="E9F4ED"/>
            <w:vAlign w:val="center"/>
            <w:tcMar>
              <w:top w:w="90" w:type="dxa"/>
              <w:start w:w="110" w:type="dxa"/>
              <w:bottom w:w="90" w:type="dxa"/>
              <w:end w:w="110" w:type="dxa"/>
            </w:tcMar>
          </w:tcPr>
          <w:p>
            <w:pPr>
              <w:spacing w:after="0"/>
              <w:jc w:val="center"/>
            </w:pPr>
            <w:r/>
            <w:r>
              <w:rPr>
                <w:rFonts w:ascii="Aptos" w:hAnsi="Aptos"/>
                <w:b/>
                <w:color w:val="06140F"/>
                <w:sz w:val="17"/>
              </w:rPr>
              <w:t>Cells move</w:t>
            </w:r>
          </w:p>
        </w:tc>
        <w:tc>
          <w:tcPr>
            <w:tcW w:type="dxa" w:w="2613"/>
            <w:shd w:fill="E9F4ED"/>
            <w:vAlign w:val="center"/>
            <w:tcMar>
              <w:top w:w="90" w:type="dxa"/>
              <w:start w:w="110" w:type="dxa"/>
              <w:bottom w:w="90" w:type="dxa"/>
              <w:end w:w="110" w:type="dxa"/>
            </w:tcMar>
          </w:tcPr>
          <w:p>
            <w:pPr>
              <w:spacing w:after="0"/>
              <w:jc w:val="center"/>
            </w:pPr>
            <w:r/>
            <w:r>
              <w:rPr>
                <w:rFonts w:ascii="Aptos" w:hAnsi="Aptos"/>
                <w:b/>
                <w:color w:val="06140F"/>
                <w:sz w:val="17"/>
              </w:rPr>
              <w:t>Development can go wrong</w:t>
            </w:r>
          </w:p>
        </w:tc>
      </w:tr>
    </w:tbl>
    <w:p>
      <w:pPr>
        <w:pStyle w:val="Heading1"/>
      </w:pPr>
      <w:r>
        <w:t>1. Observe the analogy before naming the biology</w:t>
      </w:r>
    </w:p>
    <w:p>
      <w:pPr>
        <w:spacing w:after="40"/>
        <w:jc w:val="center"/>
      </w:pPr>
      <w:r>
        <w:drawing>
          <wp:inline xmlns:a="http://schemas.openxmlformats.org/drawingml/2006/main" xmlns:pic="http://schemas.openxmlformats.org/drawingml/2006/picture">
            <wp:extent cx="3108960" cy="3108960"/>
            <wp:docPr id="1" name="Picture 1"/>
            <wp:cNvGraphicFramePr>
              <a:graphicFrameLocks noChangeAspect="1"/>
            </wp:cNvGraphicFramePr>
            <a:graphic>
              <a:graphicData uri="http://schemas.openxmlformats.org/drawingml/2006/picture">
                <pic:pic>
                  <pic:nvPicPr>
                    <pic:cNvPr id="0" name="image.jpg"/>
                    <pic:cNvPicPr/>
                  </pic:nvPicPr>
                  <pic:blipFill>
                    <a:blip r:embed="rId11"/>
                    <a:stretch>
                      <a:fillRect/>
                    </a:stretch>
                  </pic:blipFill>
                  <pic:spPr>
                    <a:xfrm>
                      <a:off x="0" y="0"/>
                      <a:ext cx="3108960" cy="3108960"/>
                    </a:xfrm>
                    <a:prstGeom prst="rect"/>
                  </pic:spPr>
                </pic:pic>
              </a:graphicData>
            </a:graphic>
          </wp:inline>
        </w:drawing>
      </w:r>
    </w:p>
    <w:p>
      <w:pPr>
        <w:spacing w:after="100"/>
        <w:jc w:val="center"/>
      </w:pPr>
      <w:r>
        <w:rPr>
          <w:rFonts w:ascii="Aptos" w:hAnsi="Aptos"/>
          <w:i/>
          <w:color w:val="5C6F65"/>
          <w:sz w:val="15"/>
        </w:rPr>
        <w:t>Illustration: A two-person control room can fail in two ways</w:t>
      </w:r>
    </w:p>
    <w:p>
      <w:pPr>
        <w:spacing w:after="40"/>
      </w:pPr>
      <w:r>
        <w:rPr>
          <w:b/>
          <w:color w:val="2FD27A"/>
        </w:rPr>
        <w:t xml:space="preserve">1. </w:t>
      </w:r>
      <w:r>
        <w:rPr>
          <w:sz w:val="20"/>
        </w:rPr>
        <w:t>What happens when one station is empty?</w:t>
      </w:r>
    </w:p>
    <w:p>
      <w:pPr>
        <w:spacing w:after="20"/>
      </w:pPr>
      <w:r>
        <w:rPr>
          <w:color w:val="B8C9C0"/>
          <w:sz w:val="16"/>
        </w:rPr>
        <w:t>________________________________________________________________________________</w:t>
      </w:r>
    </w:p>
    <w:p>
      <w:pPr>
        <w:spacing w:after="40"/>
      </w:pPr>
      <w:r>
        <w:rPr>
          <w:b/>
          <w:color w:val="2FD27A"/>
        </w:rPr>
        <w:t xml:space="preserve">2. </w:t>
      </w:r>
      <w:r>
        <w:rPr>
          <w:sz w:val="20"/>
        </w:rPr>
        <w:t>How is a wrong command different from no command?</w:t>
      </w:r>
    </w:p>
    <w:p>
      <w:pPr>
        <w:spacing w:after="20"/>
      </w:pPr>
      <w:r>
        <w:rPr>
          <w:color w:val="B8C9C0"/>
          <w:sz w:val="16"/>
        </w:rPr>
        <w:t>________________________________________________________________________________</w:t>
      </w:r>
    </w:p>
    <w:p>
      <w:pPr>
        <w:spacing w:after="40"/>
      </w:pPr>
      <w:r>
        <w:rPr>
          <w:b/>
          <w:color w:val="2FD27A"/>
        </w:rPr>
        <w:t xml:space="preserve">3. </w:t>
      </w:r>
      <w:r>
        <w:rPr>
          <w:sz w:val="20"/>
        </w:rPr>
        <w:t>Which failure could disrupt the working operator too?</w:t>
      </w:r>
    </w:p>
    <w:p>
      <w:pPr>
        <w:spacing w:after="20"/>
      </w:pPr>
      <w:r>
        <w:rPr>
          <w:color w:val="B8C9C0"/>
          <w:sz w:val="16"/>
        </w:rPr>
        <w:t>________________________________________________________________________________</w:t>
      </w:r>
    </w:p>
    <w:p>
      <w:r>
        <w:br w:type="page"/>
      </w:r>
    </w:p>
    <w:p>
      <w:pPr>
        <w:spacing w:after="60"/>
      </w:pPr>
      <w:r>
        <w:rPr>
          <w:rFonts w:ascii="Aptos" w:hAnsi="Aptos"/>
          <w:b/>
          <w:color w:val="2FD27A"/>
          <w:sz w:val="16"/>
        </w:rPr>
        <w:t>GENETICS LESSON 8 | RULES AND BIOLOGY MAPPING</w:t>
      </w:r>
    </w:p>
    <w:tbl>
      <w:tblPr>
        <w:tblW w:type="auto" w:w="0"/>
        <w:jc w:val="center"/>
        <w:tblLayout w:type="fixed"/>
        <w:tblLook w:firstColumn="1" w:firstRow="1" w:lastColumn="0" w:lastRow="0" w:noHBand="0" w:noVBand="1" w:val="04A0"/>
      </w:tblPr>
      <w:tblGrid>
        <w:gridCol w:w="10339"/>
      </w:tblGrid>
      <w:tr>
        <w:tc>
          <w:tcPr>
            <w:tcW w:type="dxa" w:w="10454"/>
            <w:shd w:fill="06140F"/>
            <w:vAlign w:val="center"/>
            <w:tcMar>
              <w:top w:w="90" w:type="dxa"/>
              <w:start w:w="110" w:type="dxa"/>
              <w:bottom w:w="90" w:type="dxa"/>
              <w:end w:w="110" w:type="dxa"/>
            </w:tcMar>
          </w:tcPr>
          <w:p>
            <w:pPr>
              <w:spacing w:after="0"/>
              <w:jc w:val="left"/>
            </w:pPr>
            <w:r/>
            <w:r>
              <w:rPr>
                <w:rFonts w:ascii="Aptos" w:hAnsi="Aptos"/>
                <w:b/>
                <w:color w:val="F7F3E8"/>
                <w:sz w:val="20"/>
              </w:rPr>
              <w:t>2. Turn observations into rules</w:t>
            </w:r>
          </w:p>
        </w:tc>
      </w:tr>
    </w:tbl>
    <w:p>
      <w:pPr>
        <w:spacing w:after="0"/>
      </w:pPr>
    </w:p>
    <w:p>
      <w:pPr>
        <w:spacing w:after="40"/>
      </w:pPr>
      <w:r>
        <w:rPr>
          <w:b/>
          <w:color w:val="2FD27A"/>
        </w:rPr>
        <w:t xml:space="preserve">1. </w:t>
      </w:r>
      <w:r>
        <w:rPr>
          <w:sz w:val="20"/>
        </w:rPr>
        <w:t>Rule 1: One missing functional copy can reduce dosage. Explain it in your own words.</w:t>
      </w:r>
    </w:p>
    <w:p>
      <w:pPr>
        <w:spacing w:after="20"/>
      </w:pPr>
      <w:r>
        <w:rPr>
          <w:color w:val="B8C9C0"/>
          <w:sz w:val="16"/>
        </w:rPr>
        <w:t>________________________________________________________________________________</w:t>
      </w:r>
    </w:p>
    <w:p>
      <w:pPr>
        <w:spacing w:after="40"/>
      </w:pPr>
      <w:r>
        <w:rPr>
          <w:b/>
          <w:color w:val="2FD27A"/>
        </w:rPr>
        <w:t xml:space="preserve">2. </w:t>
      </w:r>
      <w:r>
        <w:rPr>
          <w:sz w:val="20"/>
        </w:rPr>
        <w:t>Rule 2: A changed protein can interfere with normal complexes. Explain it in your own words.</w:t>
      </w:r>
    </w:p>
    <w:p>
      <w:pPr>
        <w:spacing w:after="20"/>
      </w:pPr>
      <w:r>
        <w:rPr>
          <w:color w:val="B8C9C0"/>
          <w:sz w:val="16"/>
        </w:rPr>
        <w:t>________________________________________________________________________________</w:t>
      </w:r>
    </w:p>
    <w:p>
      <w:pPr>
        <w:spacing w:after="40"/>
      </w:pPr>
      <w:r>
        <w:rPr>
          <w:b/>
          <w:color w:val="2FD27A"/>
        </w:rPr>
        <w:t xml:space="preserve">3. </w:t>
      </w:r>
      <w:r>
        <w:rPr>
          <w:sz w:val="20"/>
        </w:rPr>
        <w:t>Rule 3: Domain location helps predict the mechanism. Explain it in your own words.</w:t>
      </w:r>
    </w:p>
    <w:p>
      <w:pPr>
        <w:spacing w:after="20"/>
      </w:pPr>
      <w:r>
        <w:rPr>
          <w:color w:val="B8C9C0"/>
          <w:sz w:val="16"/>
        </w:rPr>
        <w:t>________________________________________________________________________________</w:t>
      </w:r>
    </w:p>
    <w:p>
      <w:r>
        <w:rPr>
          <w:b/>
          <w:color w:val="F5C542"/>
        </w:rPr>
        <w:t xml:space="preserve">Where the analogy stops: </w:t>
      </w:r>
      <w:r>
        <w:t>IRF6 molecular effects vary by variant and are more complex than two operators.</w:t>
      </w:r>
    </w:p>
    <w:p>
      <w:pPr>
        <w:pStyle w:val="Heading1"/>
      </w:pPr>
      <w:r>
        <w:t>3. Map the rules onto the biomedical example</w:t>
      </w:r>
    </w:p>
    <w:p>
      <w:pPr>
        <w:spacing w:after="40"/>
        <w:jc w:val="center"/>
      </w:pPr>
      <w:r>
        <w:drawing>
          <wp:inline xmlns:a="http://schemas.openxmlformats.org/drawingml/2006/main" xmlns:pic="http://schemas.openxmlformats.org/drawingml/2006/picture">
            <wp:extent cx="3063240" cy="3063240"/>
            <wp:docPr id="2" name="Picture 2"/>
            <wp:cNvGraphicFramePr>
              <a:graphicFrameLocks noChangeAspect="1"/>
            </wp:cNvGraphicFramePr>
            <a:graphic>
              <a:graphicData uri="http://schemas.openxmlformats.org/drawingml/2006/picture">
                <pic:pic>
                  <pic:nvPicPr>
                    <pic:cNvPr id="0" name="image.jpg"/>
                    <pic:cNvPicPr/>
                  </pic:nvPicPr>
                  <pic:blipFill>
                    <a:blip r:embed="rId12"/>
                    <a:stretch>
                      <a:fillRect/>
                    </a:stretch>
                  </pic:blipFill>
                  <pic:spPr>
                    <a:xfrm>
                      <a:off x="0" y="0"/>
                      <a:ext cx="3063240" cy="3063240"/>
                    </a:xfrm>
                    <a:prstGeom prst="rect"/>
                  </pic:spPr>
                </pic:pic>
              </a:graphicData>
            </a:graphic>
          </wp:inline>
        </w:drawing>
      </w:r>
    </w:p>
    <w:p>
      <w:pPr>
        <w:spacing w:after="100"/>
        <w:jc w:val="center"/>
      </w:pPr>
      <w:r>
        <w:rPr>
          <w:rFonts w:ascii="Aptos" w:hAnsi="Aptos"/>
          <w:i/>
          <w:color w:val="5C6F65"/>
          <w:sz w:val="15"/>
        </w:rPr>
        <w:t>Biomedical teaching illustration: Compare IRF6 haploinsufficiency and domain-specific disruption</w:t>
      </w:r>
    </w:p>
    <w:tbl>
      <w:tblPr>
        <w:tblStyle w:val="TableGrid"/>
        <w:tblW w:type="auto" w:w="0"/>
        <w:jc w:val="center"/>
        <w:tblLook w:firstColumn="1" w:firstRow="1" w:lastColumn="0" w:lastRow="0" w:noHBand="0" w:noVBand="1" w:val="04A0"/>
      </w:tblPr>
      <w:tblGrid>
        <w:gridCol w:w="3485"/>
        <w:gridCol w:w="3485"/>
        <w:gridCol w:w="3485"/>
      </w:tblGrid>
      <w:tr>
        <w:tc>
          <w:tcPr>
            <w:tcW w:type="dxa" w:w="3485"/>
            <w:shd w:fill="123426"/>
            <w:vAlign w:val="center"/>
            <w:tcMar>
              <w:top w:w="90" w:type="dxa"/>
              <w:start w:w="110" w:type="dxa"/>
              <w:bottom w:w="90" w:type="dxa"/>
              <w:end w:w="110" w:type="dxa"/>
            </w:tcMar>
          </w:tcPr>
          <w:p>
            <w:pPr>
              <w:spacing w:after="0"/>
              <w:jc w:val="left"/>
            </w:pPr>
            <w:r/>
            <w:r>
              <w:rPr>
                <w:rFonts w:ascii="Aptos" w:hAnsi="Aptos"/>
                <w:b/>
                <w:color w:val="F7F3E8"/>
                <w:sz w:val="17"/>
              </w:rPr>
              <w:t>Analogy step</w:t>
            </w:r>
          </w:p>
        </w:tc>
        <w:tc>
          <w:tcPr>
            <w:tcW w:type="dxa" w:w="3485"/>
            <w:shd w:fill="123426"/>
            <w:vAlign w:val="center"/>
            <w:tcMar>
              <w:top w:w="90" w:type="dxa"/>
              <w:start w:w="110" w:type="dxa"/>
              <w:bottom w:w="90" w:type="dxa"/>
              <w:end w:w="110" w:type="dxa"/>
            </w:tcMar>
          </w:tcPr>
          <w:p>
            <w:pPr>
              <w:spacing w:after="0"/>
              <w:jc w:val="left"/>
            </w:pPr>
            <w:r/>
            <w:r>
              <w:rPr>
                <w:rFonts w:ascii="Aptos" w:hAnsi="Aptos"/>
                <w:b/>
                <w:color w:val="F7F3E8"/>
                <w:sz w:val="17"/>
              </w:rPr>
              <w:t>Biology step</w:t>
            </w:r>
          </w:p>
        </w:tc>
        <w:tc>
          <w:tcPr>
            <w:tcW w:type="dxa" w:w="3485"/>
            <w:shd w:fill="123426"/>
            <w:vAlign w:val="center"/>
            <w:tcMar>
              <w:top w:w="90" w:type="dxa"/>
              <w:start w:w="110" w:type="dxa"/>
              <w:bottom w:w="90" w:type="dxa"/>
              <w:end w:w="110" w:type="dxa"/>
            </w:tcMar>
          </w:tcPr>
          <w:p>
            <w:pPr>
              <w:spacing w:after="0"/>
              <w:jc w:val="left"/>
            </w:pPr>
            <w:r/>
            <w:r>
              <w:rPr>
                <w:rFonts w:ascii="Aptos" w:hAnsi="Aptos"/>
                <w:b/>
                <w:color w:val="F7F3E8"/>
                <w:sz w:val="17"/>
              </w:rPr>
              <w:t>How the relationship stays the same</w:t>
            </w:r>
          </w:p>
        </w:tc>
      </w:tr>
      <w:tr>
        <w:tc>
          <w:tcPr>
            <w:tcW w:type="dxa" w:w="3485"/>
            <w:vAlign w:val="center"/>
            <w:tcMar>
              <w:top w:w="90" w:type="dxa"/>
              <w:start w:w="110" w:type="dxa"/>
              <w:bottom w:w="90" w:type="dxa"/>
              <w:end w:w="110" w:type="dxa"/>
            </w:tcMar>
          </w:tcPr>
          <w:p>
            <w:pPr>
              <w:spacing w:after="0"/>
              <w:jc w:val="left"/>
            </w:pPr>
            <w:r/>
            <w:r>
              <w:rPr>
                <w:rFonts w:ascii="Aptos" w:hAnsi="Aptos"/>
                <w:b/>
                <w:color w:val="06140F"/>
                <w:sz w:val="17"/>
              </w:rPr>
              <w:t>Empty station</w:t>
            </w:r>
          </w:p>
        </w:tc>
        <w:tc>
          <w:tcPr>
            <w:tcW w:type="dxa" w:w="3485"/>
            <w:vAlign w:val="center"/>
            <w:tcMar>
              <w:top w:w="90" w:type="dxa"/>
              <w:start w:w="110" w:type="dxa"/>
              <w:bottom w:w="90" w:type="dxa"/>
              <w:end w:w="110" w:type="dxa"/>
            </w:tcMar>
          </w:tcPr>
          <w:p>
            <w:pPr>
              <w:spacing w:after="0"/>
              <w:jc w:val="left"/>
            </w:pPr>
            <w:r/>
            <w:r>
              <w:rPr>
                <w:rFonts w:ascii="Aptos" w:hAnsi="Aptos"/>
                <w:b w:val="0"/>
                <w:color w:val="06140F"/>
                <w:sz w:val="17"/>
              </w:rPr>
              <w:t>Haploinsufficiency or loss of function</w:t>
            </w:r>
          </w:p>
        </w:tc>
        <w:tc>
          <w:tcPr>
            <w:tcW w:type="dxa" w:w="3485"/>
            <w:vAlign w:val="center"/>
            <w:tcMar>
              <w:top w:w="90" w:type="dxa"/>
              <w:start w:w="110" w:type="dxa"/>
              <w:bottom w:w="90" w:type="dxa"/>
              <w:end w:w="110" w:type="dxa"/>
            </w:tcMar>
          </w:tcPr>
          <w:p>
            <w:pPr>
              <w:spacing w:after="0"/>
              <w:jc w:val="left"/>
            </w:pPr>
            <w:r/>
            <w:r>
              <w:rPr>
                <w:rFonts w:ascii="Aptos" w:hAnsi="Aptos"/>
                <w:b w:val="0"/>
                <w:color w:val="5C6F65"/>
                <w:sz w:val="17"/>
              </w:rPr>
              <w:t>________________________________</w:t>
            </w:r>
          </w:p>
        </w:tc>
      </w:tr>
      <w:tr>
        <w:tc>
          <w:tcPr>
            <w:tcW w:type="dxa" w:w="3485"/>
            <w:vAlign w:val="center"/>
            <w:tcMar>
              <w:top w:w="90" w:type="dxa"/>
              <w:start w:w="110" w:type="dxa"/>
              <w:bottom w:w="90" w:type="dxa"/>
              <w:end w:w="110" w:type="dxa"/>
            </w:tcMar>
          </w:tcPr>
          <w:p>
            <w:pPr>
              <w:spacing w:after="0"/>
              <w:jc w:val="left"/>
            </w:pPr>
            <w:r/>
            <w:r>
              <w:rPr>
                <w:rFonts w:ascii="Aptos" w:hAnsi="Aptos"/>
                <w:b/>
                <w:color w:val="06140F"/>
                <w:sz w:val="17"/>
              </w:rPr>
              <w:t>Wrong commands</w:t>
            </w:r>
          </w:p>
        </w:tc>
        <w:tc>
          <w:tcPr>
            <w:tcW w:type="dxa" w:w="3485"/>
            <w:vAlign w:val="center"/>
            <w:tcMar>
              <w:top w:w="90" w:type="dxa"/>
              <w:start w:w="110" w:type="dxa"/>
              <w:bottom w:w="90" w:type="dxa"/>
              <w:end w:w="110" w:type="dxa"/>
            </w:tcMar>
          </w:tcPr>
          <w:p>
            <w:pPr>
              <w:spacing w:after="0"/>
              <w:jc w:val="left"/>
            </w:pPr>
            <w:r/>
            <w:r>
              <w:rPr>
                <w:rFonts w:ascii="Aptos" w:hAnsi="Aptos"/>
                <w:b w:val="0"/>
                <w:color w:val="06140F"/>
                <w:sz w:val="17"/>
              </w:rPr>
              <w:t>Altered DNA-binding protein</w:t>
            </w:r>
          </w:p>
        </w:tc>
        <w:tc>
          <w:tcPr>
            <w:tcW w:type="dxa" w:w="3485"/>
            <w:vAlign w:val="center"/>
            <w:tcMar>
              <w:top w:w="90" w:type="dxa"/>
              <w:start w:w="110" w:type="dxa"/>
              <w:bottom w:w="90" w:type="dxa"/>
              <w:end w:w="110" w:type="dxa"/>
            </w:tcMar>
          </w:tcPr>
          <w:p>
            <w:pPr>
              <w:spacing w:after="0"/>
              <w:jc w:val="left"/>
            </w:pPr>
            <w:r/>
            <w:r>
              <w:rPr>
                <w:rFonts w:ascii="Aptos" w:hAnsi="Aptos"/>
                <w:b w:val="0"/>
                <w:color w:val="5C6F65"/>
                <w:sz w:val="17"/>
              </w:rPr>
              <w:t>________________________________</w:t>
            </w:r>
          </w:p>
        </w:tc>
      </w:tr>
      <w:tr>
        <w:tc>
          <w:tcPr>
            <w:tcW w:type="dxa" w:w="3485"/>
            <w:vAlign w:val="center"/>
            <w:tcMar>
              <w:top w:w="90" w:type="dxa"/>
              <w:start w:w="110" w:type="dxa"/>
              <w:bottom w:w="90" w:type="dxa"/>
              <w:end w:w="110" w:type="dxa"/>
            </w:tcMar>
          </w:tcPr>
          <w:p>
            <w:pPr>
              <w:spacing w:after="0"/>
              <w:jc w:val="left"/>
            </w:pPr>
            <w:r/>
            <w:r>
              <w:rPr>
                <w:rFonts w:ascii="Aptos" w:hAnsi="Aptos"/>
                <w:b/>
                <w:color w:val="06140F"/>
                <w:sz w:val="17"/>
              </w:rPr>
              <w:t>Control panel location</w:t>
            </w:r>
          </w:p>
        </w:tc>
        <w:tc>
          <w:tcPr>
            <w:tcW w:type="dxa" w:w="3485"/>
            <w:vAlign w:val="center"/>
            <w:tcMar>
              <w:top w:w="90" w:type="dxa"/>
              <w:start w:w="110" w:type="dxa"/>
              <w:bottom w:w="90" w:type="dxa"/>
              <w:end w:w="110" w:type="dxa"/>
            </w:tcMar>
          </w:tcPr>
          <w:p>
            <w:pPr>
              <w:spacing w:after="0"/>
              <w:jc w:val="left"/>
            </w:pPr>
            <w:r/>
            <w:r>
              <w:rPr>
                <w:rFonts w:ascii="Aptos" w:hAnsi="Aptos"/>
                <w:b w:val="0"/>
                <w:color w:val="06140F"/>
                <w:sz w:val="17"/>
              </w:rPr>
              <w:t>Protein domain</w:t>
            </w:r>
          </w:p>
        </w:tc>
        <w:tc>
          <w:tcPr>
            <w:tcW w:type="dxa" w:w="3485"/>
            <w:vAlign w:val="center"/>
            <w:tcMar>
              <w:top w:w="90" w:type="dxa"/>
              <w:start w:w="110" w:type="dxa"/>
              <w:bottom w:w="90" w:type="dxa"/>
              <w:end w:w="110" w:type="dxa"/>
            </w:tcMar>
          </w:tcPr>
          <w:p>
            <w:pPr>
              <w:spacing w:after="0"/>
              <w:jc w:val="left"/>
            </w:pPr>
            <w:r/>
            <w:r>
              <w:rPr>
                <w:rFonts w:ascii="Aptos" w:hAnsi="Aptos"/>
                <w:b w:val="0"/>
                <w:color w:val="5C6F65"/>
                <w:sz w:val="17"/>
              </w:rPr>
              <w:t>________________________________</w:t>
            </w:r>
          </w:p>
        </w:tc>
      </w:tr>
    </w:tbl>
    <w:p>
      <w:r>
        <w:br w:type="page"/>
      </w:r>
    </w:p>
    <w:p>
      <w:pPr>
        <w:spacing w:after="60"/>
      </w:pPr>
      <w:r>
        <w:rPr>
          <w:rFonts w:ascii="Aptos" w:hAnsi="Aptos"/>
          <w:b/>
          <w:color w:val="2FD27A"/>
          <w:sz w:val="16"/>
        </w:rPr>
        <w:t>GENETICS LESSON 8 | CASE FILE AND DECISION</w:t>
      </w:r>
    </w:p>
    <w:tbl>
      <w:tblPr>
        <w:tblW w:type="auto" w:w="0"/>
        <w:jc w:val="center"/>
        <w:tblLayout w:type="fixed"/>
        <w:tblLook w:firstColumn="1" w:firstRow="1" w:lastColumn="0" w:lastRow="0" w:noHBand="0" w:noVBand="1" w:val="04A0"/>
      </w:tblPr>
      <w:tblGrid>
        <w:gridCol w:w="10339"/>
      </w:tblGrid>
      <w:tr>
        <w:tc>
          <w:tcPr>
            <w:tcW w:type="dxa" w:w="10454"/>
            <w:shd w:fill="06140F"/>
            <w:vAlign w:val="center"/>
            <w:tcMar>
              <w:top w:w="90" w:type="dxa"/>
              <w:start w:w="110" w:type="dxa"/>
              <w:bottom w:w="90" w:type="dxa"/>
              <w:end w:w="110" w:type="dxa"/>
            </w:tcMar>
          </w:tcPr>
          <w:p>
            <w:pPr>
              <w:spacing w:after="0"/>
              <w:jc w:val="left"/>
            </w:pPr>
            <w:r/>
            <w:r>
              <w:rPr>
                <w:rFonts w:ascii="Aptos" w:hAnsi="Aptos"/>
                <w:b/>
                <w:color w:val="F7F3E8"/>
                <w:sz w:val="20"/>
              </w:rPr>
              <w:t>4. Use the case evidence</w:t>
            </w:r>
          </w:p>
        </w:tc>
      </w:tr>
    </w:tbl>
    <w:p>
      <w:pPr>
        <w:spacing w:after="0"/>
      </w:pPr>
    </w:p>
    <w:tbl>
      <w:tblPr>
        <w:tblStyle w:val="TableGrid"/>
        <w:tblW w:type="auto" w:w="0"/>
        <w:jc w:val="center"/>
        <w:tblLayout w:type="fixed"/>
        <w:tblLook w:firstColumn="1" w:firstRow="1" w:lastColumn="0" w:lastRow="0" w:noHBand="0" w:noVBand="1" w:val="04A0"/>
      </w:tblPr>
      <w:tblGrid>
        <w:gridCol w:w="3485"/>
        <w:gridCol w:w="3485"/>
        <w:gridCol w:w="3485"/>
      </w:tblGrid>
      <w:tr>
        <w:trPr>
          <w:tblHeader w:val="true"/>
        </w:trPr>
        <w:tc>
          <w:tcPr>
            <w:tcW w:type="dxa" w:w="1080"/>
            <w:shd w:fill="123426"/>
            <w:vAlign w:val="center"/>
            <w:tcMar>
              <w:top w:w="90" w:type="dxa"/>
              <w:start w:w="110" w:type="dxa"/>
              <w:bottom w:w="90" w:type="dxa"/>
              <w:end w:w="110" w:type="dxa"/>
            </w:tcMar>
          </w:tcPr>
          <w:p>
            <w:pPr>
              <w:spacing w:after="0"/>
              <w:jc w:val="left"/>
            </w:pPr>
            <w:r/>
            <w:r>
              <w:rPr>
                <w:rFonts w:ascii="Aptos" w:hAnsi="Aptos"/>
                <w:b/>
                <w:color w:val="F7F3E8"/>
                <w:sz w:val="17"/>
              </w:rPr>
              <w:t>ID</w:t>
            </w:r>
          </w:p>
        </w:tc>
        <w:tc>
          <w:tcPr>
            <w:tcW w:type="dxa" w:w="4536"/>
            <w:shd w:fill="123426"/>
            <w:vAlign w:val="center"/>
            <w:tcMar>
              <w:top w:w="90" w:type="dxa"/>
              <w:start w:w="110" w:type="dxa"/>
              <w:bottom w:w="90" w:type="dxa"/>
              <w:end w:w="110" w:type="dxa"/>
            </w:tcMar>
          </w:tcPr>
          <w:p>
            <w:pPr>
              <w:spacing w:after="0"/>
              <w:jc w:val="left"/>
            </w:pPr>
            <w:r/>
            <w:r>
              <w:rPr>
                <w:rFonts w:ascii="Aptos" w:hAnsi="Aptos"/>
                <w:b/>
                <w:color w:val="F7F3E8"/>
                <w:sz w:val="17"/>
              </w:rPr>
              <w:t>Finding supplied in the case</w:t>
            </w:r>
          </w:p>
        </w:tc>
        <w:tc>
          <w:tcPr>
            <w:tcW w:type="dxa" w:w="4536"/>
            <w:shd w:fill="123426"/>
            <w:vAlign w:val="center"/>
            <w:tcMar>
              <w:top w:w="90" w:type="dxa"/>
              <w:start w:w="110" w:type="dxa"/>
              <w:bottom w:w="90" w:type="dxa"/>
              <w:end w:w="110" w:type="dxa"/>
            </w:tcMar>
          </w:tcPr>
          <w:p>
            <w:pPr>
              <w:spacing w:after="0"/>
              <w:jc w:val="left"/>
            </w:pPr>
            <w:r/>
            <w:r>
              <w:rPr>
                <w:rFonts w:ascii="Aptos" w:hAnsi="Aptos"/>
                <w:b/>
                <w:color w:val="F7F3E8"/>
                <w:sz w:val="17"/>
              </w:rPr>
              <w:t>Why it matters</w:t>
            </w:r>
          </w:p>
        </w:tc>
      </w:tr>
      <w:tr>
        <w:tc>
          <w:tcPr>
            <w:tcW w:type="dxa" w:w="3485"/>
            <w:shd w:fill="E9F4ED"/>
            <w:vAlign w:val="center"/>
            <w:tcMar>
              <w:top w:w="90" w:type="dxa"/>
              <w:start w:w="110" w:type="dxa"/>
              <w:bottom w:w="90" w:type="dxa"/>
              <w:end w:w="110" w:type="dxa"/>
            </w:tcMar>
          </w:tcPr>
          <w:p>
            <w:pPr>
              <w:spacing w:after="0"/>
              <w:jc w:val="left"/>
            </w:pPr>
            <w:r/>
            <w:r>
              <w:rPr>
                <w:rFonts w:ascii="Aptos" w:hAnsi="Aptos"/>
                <w:b/>
                <w:color w:val="2FD27A"/>
                <w:sz w:val="17"/>
              </w:rPr>
              <w:t>GEN08-E1</w:t>
            </w:r>
          </w:p>
        </w:tc>
        <w:tc>
          <w:tcPr>
            <w:tcW w:type="dxa" w:w="3485"/>
            <w:shd w:fill="E9F4ED"/>
            <w:vAlign w:val="center"/>
            <w:tcMar>
              <w:top w:w="90" w:type="dxa"/>
              <w:start w:w="110" w:type="dxa"/>
              <w:bottom w:w="90" w:type="dxa"/>
              <w:end w:w="110" w:type="dxa"/>
            </w:tcMar>
          </w:tcPr>
          <w:p>
            <w:pPr>
              <w:spacing w:after="0"/>
              <w:jc w:val="left"/>
            </w:pPr>
            <w:r/>
            <w:r>
              <w:rPr>
                <w:rFonts w:ascii="Aptos" w:hAnsi="Aptos"/>
                <w:b w:val="0"/>
                <w:color w:val="06140F"/>
                <w:sz w:val="17"/>
              </w:rPr>
              <w:t>Many Van der Woude variants reduce the amount of functional IRF6.</w:t>
            </w:r>
          </w:p>
        </w:tc>
        <w:tc>
          <w:tcPr>
            <w:tcW w:type="dxa" w:w="3485"/>
            <w:shd w:fill="E9F4ED"/>
            <w:vAlign w:val="center"/>
            <w:tcMar>
              <w:top w:w="90" w:type="dxa"/>
              <w:start w:w="110" w:type="dxa"/>
              <w:bottom w:w="90" w:type="dxa"/>
              <w:end w:w="110" w:type="dxa"/>
            </w:tcMar>
          </w:tcPr>
          <w:p>
            <w:pPr>
              <w:spacing w:after="0"/>
              <w:jc w:val="left"/>
            </w:pPr>
            <w:r/>
            <w:r>
              <w:rPr>
                <w:rFonts w:ascii="Aptos" w:hAnsi="Aptos"/>
                <w:b w:val="0"/>
                <w:color w:val="06140F"/>
                <w:sz w:val="17"/>
              </w:rPr>
              <w:t>Haploinsufficiency is a supported disease mechanism.</w:t>
            </w:r>
          </w:p>
        </w:tc>
      </w:tr>
      <w:tr>
        <w:tc>
          <w:tcPr>
            <w:tcW w:type="dxa" w:w="3485"/>
            <w:shd w:fill="FFFFFF"/>
            <w:vAlign w:val="center"/>
            <w:tcMar>
              <w:top w:w="90" w:type="dxa"/>
              <w:start w:w="110" w:type="dxa"/>
              <w:bottom w:w="90" w:type="dxa"/>
              <w:end w:w="110" w:type="dxa"/>
            </w:tcMar>
          </w:tcPr>
          <w:p>
            <w:pPr>
              <w:spacing w:after="0"/>
              <w:jc w:val="left"/>
            </w:pPr>
            <w:r/>
            <w:r>
              <w:rPr>
                <w:rFonts w:ascii="Aptos" w:hAnsi="Aptos"/>
                <w:b/>
                <w:color w:val="2FD27A"/>
                <w:sz w:val="17"/>
              </w:rPr>
              <w:t>GEN08-E2</w:t>
            </w:r>
          </w:p>
        </w:tc>
        <w:tc>
          <w:tcPr>
            <w:tcW w:type="dxa" w:w="3485"/>
            <w:shd w:fill="FFFFFF"/>
            <w:vAlign w:val="center"/>
            <w:tcMar>
              <w:top w:w="90" w:type="dxa"/>
              <w:start w:w="110" w:type="dxa"/>
              <w:bottom w:w="90" w:type="dxa"/>
              <w:end w:w="110" w:type="dxa"/>
            </w:tcMar>
          </w:tcPr>
          <w:p>
            <w:pPr>
              <w:spacing w:after="0"/>
              <w:jc w:val="left"/>
            </w:pPr>
            <w:r/>
            <w:r>
              <w:rPr>
                <w:rFonts w:ascii="Aptos" w:hAnsi="Aptos"/>
                <w:b w:val="0"/>
                <w:color w:val="06140F"/>
                <w:sz w:val="17"/>
              </w:rPr>
              <w:t>Some severe PPS-associated variants cluster at Arg84 in the DNA-binding domain.</w:t>
            </w:r>
          </w:p>
        </w:tc>
        <w:tc>
          <w:tcPr>
            <w:tcW w:type="dxa" w:w="3485"/>
            <w:shd w:fill="FFFFFF"/>
            <w:vAlign w:val="center"/>
            <w:tcMar>
              <w:top w:w="90" w:type="dxa"/>
              <w:start w:w="110" w:type="dxa"/>
              <w:bottom w:w="90" w:type="dxa"/>
              <w:end w:w="110" w:type="dxa"/>
            </w:tcMar>
          </w:tcPr>
          <w:p>
            <w:pPr>
              <w:spacing w:after="0"/>
              <w:jc w:val="left"/>
            </w:pPr>
            <w:r/>
            <w:r>
              <w:rPr>
                <w:rFonts w:ascii="Aptos" w:hAnsi="Aptos"/>
                <w:b w:val="0"/>
                <w:color w:val="06140F"/>
                <w:sz w:val="17"/>
              </w:rPr>
              <w:t>Location can alter protein behavior and phenotype.</w:t>
            </w:r>
          </w:p>
        </w:tc>
      </w:tr>
      <w:tr>
        <w:tc>
          <w:tcPr>
            <w:tcW w:type="dxa" w:w="3485"/>
            <w:shd w:fill="E9F4ED"/>
            <w:vAlign w:val="center"/>
            <w:tcMar>
              <w:top w:w="90" w:type="dxa"/>
              <w:start w:w="110" w:type="dxa"/>
              <w:bottom w:w="90" w:type="dxa"/>
              <w:end w:w="110" w:type="dxa"/>
            </w:tcMar>
          </w:tcPr>
          <w:p>
            <w:pPr>
              <w:spacing w:after="0"/>
              <w:jc w:val="left"/>
            </w:pPr>
            <w:r/>
            <w:r>
              <w:rPr>
                <w:rFonts w:ascii="Aptos" w:hAnsi="Aptos"/>
                <w:b/>
                <w:color w:val="2FD27A"/>
                <w:sz w:val="17"/>
              </w:rPr>
              <w:t>GEN08-E3</w:t>
            </w:r>
          </w:p>
        </w:tc>
        <w:tc>
          <w:tcPr>
            <w:tcW w:type="dxa" w:w="3485"/>
            <w:shd w:fill="E9F4ED"/>
            <w:vAlign w:val="center"/>
            <w:tcMar>
              <w:top w:w="90" w:type="dxa"/>
              <w:start w:w="110" w:type="dxa"/>
              <w:bottom w:w="90" w:type="dxa"/>
              <w:end w:w="110" w:type="dxa"/>
            </w:tcMar>
          </w:tcPr>
          <w:p>
            <w:pPr>
              <w:spacing w:after="0"/>
              <w:jc w:val="left"/>
            </w:pPr>
            <w:r/>
            <w:r>
              <w:rPr>
                <w:rFonts w:ascii="Aptos" w:hAnsi="Aptos"/>
                <w:b w:val="0"/>
                <w:color w:val="06140F"/>
                <w:sz w:val="17"/>
              </w:rPr>
              <w:t>Different substitutions at Arg84 do not always produce the same phenotype.</w:t>
            </w:r>
          </w:p>
        </w:tc>
        <w:tc>
          <w:tcPr>
            <w:tcW w:type="dxa" w:w="3485"/>
            <w:shd w:fill="E9F4ED"/>
            <w:vAlign w:val="center"/>
            <w:tcMar>
              <w:top w:w="90" w:type="dxa"/>
              <w:start w:w="110" w:type="dxa"/>
              <w:bottom w:w="90" w:type="dxa"/>
              <w:end w:w="110" w:type="dxa"/>
            </w:tcMar>
          </w:tcPr>
          <w:p>
            <w:pPr>
              <w:spacing w:after="0"/>
              <w:jc w:val="left"/>
            </w:pPr>
            <w:r/>
            <w:r>
              <w:rPr>
                <w:rFonts w:ascii="Aptos" w:hAnsi="Aptos"/>
                <w:b w:val="0"/>
                <w:color w:val="06140F"/>
                <w:sz w:val="17"/>
              </w:rPr>
              <w:t>Position alone does not erase the exact amino-acid effect.</w:t>
            </w:r>
          </w:p>
        </w:tc>
      </w:tr>
    </w:tbl>
    <w:p>
      <w:pPr>
        <w:pStyle w:val="Heading1"/>
      </w:pPr>
      <w:r>
        <w:t>5. Make the clinical decision</w:t>
      </w:r>
    </w:p>
    <w:p>
      <w:r>
        <w:rPr>
          <w:b/>
        </w:rPr>
        <w:t xml:space="preserve">You are comparing two IRF6 variant reports. </w:t>
      </w:r>
      <w:r>
        <w:t>One creates an early stop. The other changes Arg84 in the DNA-binding domain.</w:t>
      </w:r>
    </w:p>
    <w:p>
      <w:pPr>
        <w:ind w:left="288"/>
      </w:pPr>
      <w:r>
        <w:rPr>
          <w:b/>
        </w:rPr>
        <w:t xml:space="preserve">A. </w:t>
      </w:r>
      <w:r>
        <w:t>Discuss dosage loss versus domain-specific altered function.</w:t>
      </w:r>
    </w:p>
    <w:p>
      <w:pPr>
        <w:ind w:left="288"/>
      </w:pPr>
      <w:r>
        <w:rPr>
          <w:b/>
        </w:rPr>
        <w:t xml:space="preserve">B. </w:t>
      </w:r>
      <w:r>
        <w:t>Call both mechanisms identical without evidence.</w:t>
      </w:r>
    </w:p>
    <w:p>
      <w:pPr>
        <w:ind w:left="288"/>
      </w:pPr>
      <w:r>
        <w:rPr>
          <w:b/>
        </w:rPr>
        <w:t xml:space="preserve">C. </w:t>
      </w:r>
      <w:r>
        <w:t>Predict Mateo's phenotype from the gene name alone.</w:t>
      </w:r>
    </w:p>
    <w:p>
      <w:pPr>
        <w:spacing w:after="40"/>
      </w:pPr>
      <w:r>
        <w:rPr>
          <w:b/>
          <w:color w:val="2FD27A"/>
        </w:rPr>
        <w:t xml:space="preserve">Decision. </w:t>
      </w:r>
      <w:r>
        <w:rPr>
          <w:sz w:val="20"/>
        </w:rPr>
        <w:t>Choose the comparison and cite dosage plus domain evidence.</w:t>
      </w:r>
    </w:p>
    <w:p>
      <w:pPr>
        <w:spacing w:after="20"/>
      </w:pPr>
      <w:r>
        <w:rPr>
          <w:color w:val="B8C9C0"/>
          <w:sz w:val="16"/>
        </w:rPr>
        <w:t>________________________________________________________________________________</w:t>
      </w:r>
    </w:p>
    <w:p>
      <w:pPr>
        <w:spacing w:after="20"/>
      </w:pPr>
      <w:r>
        <w:rPr>
          <w:color w:val="B8C9C0"/>
          <w:sz w:val="16"/>
        </w:rPr>
        <w:t>________________________________________________________________________________</w:t>
      </w:r>
    </w:p>
    <w:p>
      <w:r>
        <w:rPr>
          <w:b/>
          <w:color w:val="F5C542"/>
        </w:rPr>
        <w:t xml:space="preserve">Claim ceiling: </w:t>
      </w:r>
      <w:r>
        <w:t>You may compare supported mechanisms. You may not guarantee syndrome severity from variant position alone.</w:t>
      </w:r>
    </w:p>
    <w:p>
      <w:pPr>
        <w:spacing w:after="40"/>
      </w:pPr>
      <w:r>
        <w:rPr>
          <w:b/>
          <w:color w:val="2FD27A"/>
        </w:rPr>
        <w:t xml:space="preserve">Claim. </w:t>
      </w:r>
      <w:r>
        <w:rPr>
          <w:sz w:val="20"/>
        </w:rPr>
        <w:t>State the choice you can defend.</w:t>
      </w:r>
    </w:p>
    <w:p>
      <w:pPr>
        <w:spacing w:after="20"/>
      </w:pPr>
      <w:r>
        <w:rPr>
          <w:color w:val="B8C9C0"/>
          <w:sz w:val="16"/>
        </w:rPr>
        <w:t>________________________________________________________________________________</w:t>
      </w:r>
    </w:p>
    <w:p>
      <w:pPr>
        <w:spacing w:after="40"/>
      </w:pPr>
      <w:r>
        <w:rPr>
          <w:b/>
          <w:color w:val="2FD27A"/>
        </w:rPr>
        <w:t xml:space="preserve">Evidence. </w:t>
      </w:r>
      <w:r>
        <w:rPr>
          <w:sz w:val="20"/>
        </w:rPr>
        <w:t>Use these labeled IDs: GEN08-E1 + GEN08-E2.</w:t>
      </w:r>
    </w:p>
    <w:p>
      <w:pPr>
        <w:spacing w:after="20"/>
      </w:pPr>
      <w:r>
        <w:rPr>
          <w:color w:val="B8C9C0"/>
          <w:sz w:val="16"/>
        </w:rPr>
        <w:t>________________________________________________________________________________</w:t>
      </w:r>
    </w:p>
    <w:p>
      <w:pPr>
        <w:spacing w:after="40"/>
      </w:pPr>
      <w:r>
        <w:rPr>
          <w:b/>
          <w:color w:val="2FD27A"/>
        </w:rPr>
        <w:t xml:space="preserve">Reasoning. </w:t>
      </w:r>
      <w:r>
        <w:rPr>
          <w:sz w:val="20"/>
        </w:rPr>
        <w:t>Explain why the evidence supports the claim and stays inside the claim ceiling.</w:t>
      </w:r>
    </w:p>
    <w:p>
      <w:pPr>
        <w:spacing w:after="20"/>
      </w:pPr>
      <w:r>
        <w:rPr>
          <w:color w:val="B8C9C0"/>
          <w:sz w:val="16"/>
        </w:rPr>
        <w:t>________________________________________________________________________________</w:t>
      </w:r>
    </w:p>
    <w:p>
      <w:pPr>
        <w:spacing w:after="20"/>
      </w:pPr>
      <w:r>
        <w:rPr>
          <w:color w:val="B8C9C0"/>
          <w:sz w:val="16"/>
        </w:rPr>
        <w:t>________________________________________________________________________________</w:t>
      </w:r>
    </w:p>
    <w:p>
      <w:r>
        <w:br w:type="page"/>
      </w:r>
    </w:p>
    <w:p>
      <w:pPr>
        <w:spacing w:after="60"/>
      </w:pPr>
      <w:r>
        <w:rPr>
          <w:rFonts w:ascii="Aptos" w:hAnsi="Aptos"/>
          <w:b/>
          <w:color w:val="2FD27A"/>
          <w:sz w:val="16"/>
        </w:rPr>
        <w:t>GENETICS LESSON 8 | REDUCE, REFLECT, AND PREPARE</w:t>
      </w:r>
    </w:p>
    <w:tbl>
      <w:tblPr>
        <w:tblW w:type="auto" w:w="0"/>
        <w:jc w:val="center"/>
        <w:tblLayout w:type="fixed"/>
        <w:tblLook w:firstColumn="1" w:firstRow="1" w:lastColumn="0" w:lastRow="0" w:noHBand="0" w:noVBand="1" w:val="04A0"/>
      </w:tblPr>
      <w:tblGrid>
        <w:gridCol w:w="10339"/>
      </w:tblGrid>
      <w:tr>
        <w:tc>
          <w:tcPr>
            <w:tcW w:type="dxa" w:w="10454"/>
            <w:shd w:fill="2FD27A"/>
            <w:vAlign w:val="center"/>
            <w:tcMar>
              <w:top w:w="90" w:type="dxa"/>
              <w:start w:w="110" w:type="dxa"/>
              <w:bottom w:w="90" w:type="dxa"/>
              <w:end w:w="110" w:type="dxa"/>
            </w:tcMar>
          </w:tcPr>
          <w:p>
            <w:pPr>
              <w:spacing w:after="0"/>
              <w:jc w:val="left"/>
            </w:pPr>
            <w:r/>
            <w:r>
              <w:rPr>
                <w:rFonts w:ascii="Aptos" w:hAnsi="Aptos"/>
                <w:b/>
                <w:color w:val="F7F3E8"/>
                <w:sz w:val="20"/>
              </w:rPr>
              <w:t>6. Reduce the lesson to one lasting idea</w:t>
            </w:r>
          </w:p>
        </w:tc>
      </w:tr>
    </w:tbl>
    <w:p>
      <w:pPr>
        <w:spacing w:after="0"/>
      </w:pPr>
    </w:p>
    <w:p>
      <w:pPr>
        <w:spacing w:after="40"/>
      </w:pPr>
      <w:r>
        <w:rPr>
          <w:b/>
          <w:color w:val="2FD27A"/>
        </w:rPr>
        <w:t xml:space="preserve">Take-home. </w:t>
      </w:r>
      <w:r>
        <w:rPr>
          <w:sz w:val="20"/>
        </w:rPr>
        <w:t>Variant location can change mechanism: reduced dosage and altered DNA binding can produce different IRF6-related outcomes.</w:t>
      </w:r>
    </w:p>
    <w:p>
      <w:pPr>
        <w:spacing w:after="20"/>
      </w:pPr>
      <w:r>
        <w:rPr>
          <w:color w:val="B8C9C0"/>
          <w:sz w:val="16"/>
        </w:rPr>
        <w:t>________________________________________________________________________________</w:t>
      </w:r>
    </w:p>
    <w:p>
      <w:pPr>
        <w:spacing w:after="20"/>
      </w:pPr>
      <w:r>
        <w:rPr>
          <w:color w:val="B8C9C0"/>
          <w:sz w:val="16"/>
        </w:rPr>
        <w:t>________________________________________________________________________________</w:t>
      </w:r>
    </w:p>
    <w:p>
      <w:pPr>
        <w:spacing w:after="40"/>
      </w:pPr>
      <w:r>
        <w:rPr>
          <w:b/>
          <w:color w:val="2FD27A"/>
        </w:rPr>
        <w:t xml:space="preserve">1. </w:t>
      </w:r>
      <w:r>
        <w:rPr>
          <w:sz w:val="20"/>
        </w:rPr>
        <w:t>How is reduced dosage different from an interfering protein?</w:t>
      </w:r>
    </w:p>
    <w:p>
      <w:pPr>
        <w:spacing w:after="20"/>
      </w:pPr>
      <w:r>
        <w:rPr>
          <w:color w:val="B8C9C0"/>
          <w:sz w:val="16"/>
        </w:rPr>
        <w:t>________________________________________________________________________________</w:t>
      </w:r>
    </w:p>
    <w:p>
      <w:pPr>
        <w:spacing w:after="40"/>
      </w:pPr>
      <w:r>
        <w:rPr>
          <w:b/>
          <w:color w:val="2FD27A"/>
        </w:rPr>
        <w:t xml:space="preserve">2. </w:t>
      </w:r>
      <w:r>
        <w:rPr>
          <w:sz w:val="20"/>
        </w:rPr>
        <w:t>Why can two changes at the same position have different outcomes?</w:t>
      </w:r>
    </w:p>
    <w:p>
      <w:pPr>
        <w:spacing w:after="20"/>
      </w:pPr>
      <w:r>
        <w:rPr>
          <w:color w:val="B8C9C0"/>
          <w:sz w:val="16"/>
        </w:rPr>
        <w:t>________________________________________________________________________________</w:t>
      </w:r>
    </w:p>
    <w:p>
      <w:pPr>
        <w:pStyle w:val="Heading1"/>
      </w:pPr>
      <w:r>
        <w:t>Glossary</w:t>
      </w:r>
    </w:p>
    <w:tbl>
      <w:tblPr>
        <w:tblStyle w:val="TableGrid"/>
        <w:tblW w:type="auto" w:w="0"/>
        <w:jc w:val="center"/>
        <w:tblLayout w:type="fixed"/>
        <w:tblLook w:firstColumn="1" w:firstRow="1" w:lastColumn="0" w:lastRow="0" w:noHBand="0" w:noVBand="1" w:val="04A0"/>
      </w:tblPr>
      <w:tblGrid>
        <w:gridCol w:w="5227"/>
        <w:gridCol w:w="5227"/>
      </w:tblGrid>
      <w:tr>
        <w:trPr>
          <w:tblHeader w:val="true"/>
        </w:trPr>
        <w:tc>
          <w:tcPr>
            <w:tcW w:type="dxa" w:w="2880"/>
            <w:shd w:fill="123426"/>
            <w:vAlign w:val="center"/>
            <w:tcMar>
              <w:top w:w="90" w:type="dxa"/>
              <w:start w:w="110" w:type="dxa"/>
              <w:bottom w:w="90" w:type="dxa"/>
              <w:end w:w="110" w:type="dxa"/>
            </w:tcMar>
          </w:tcPr>
          <w:p>
            <w:pPr>
              <w:spacing w:after="0"/>
              <w:jc w:val="left"/>
            </w:pPr>
            <w:r/>
            <w:r>
              <w:rPr>
                <w:rFonts w:ascii="Aptos" w:hAnsi="Aptos"/>
                <w:b/>
                <w:color w:val="F7F3E8"/>
                <w:sz w:val="17"/>
              </w:rPr>
              <w:t>Term</w:t>
            </w:r>
          </w:p>
        </w:tc>
        <w:tc>
          <w:tcPr>
            <w:tcW w:type="dxa" w:w="7272"/>
            <w:shd w:fill="123426"/>
            <w:vAlign w:val="center"/>
            <w:tcMar>
              <w:top w:w="90" w:type="dxa"/>
              <w:start w:w="110" w:type="dxa"/>
              <w:bottom w:w="90" w:type="dxa"/>
              <w:end w:w="110" w:type="dxa"/>
            </w:tcMar>
          </w:tcPr>
          <w:p>
            <w:pPr>
              <w:spacing w:after="0"/>
              <w:jc w:val="left"/>
            </w:pPr>
            <w:r/>
            <w:r>
              <w:rPr>
                <w:rFonts w:ascii="Aptos" w:hAnsi="Aptos"/>
                <w:b/>
                <w:color w:val="F7F3E8"/>
                <w:sz w:val="17"/>
              </w:rPr>
              <w:t>Plain-English definition</w:t>
            </w:r>
          </w:p>
        </w:tc>
      </w:tr>
      <w:tr>
        <w:tc>
          <w:tcPr>
            <w:tcW w:type="dxa" w:w="5227"/>
            <w:shd w:fill="E9F4ED"/>
            <w:vAlign w:val="center"/>
            <w:tcMar>
              <w:top w:w="90" w:type="dxa"/>
              <w:start w:w="110" w:type="dxa"/>
              <w:bottom w:w="90" w:type="dxa"/>
              <w:end w:w="110" w:type="dxa"/>
            </w:tcMar>
          </w:tcPr>
          <w:p>
            <w:pPr>
              <w:spacing w:after="0"/>
              <w:jc w:val="left"/>
            </w:pPr>
            <w:r/>
            <w:r>
              <w:rPr>
                <w:rFonts w:ascii="Aptos" w:hAnsi="Aptos"/>
                <w:b/>
                <w:color w:val="06140F"/>
                <w:sz w:val="17"/>
              </w:rPr>
              <w:t>haploinsufficiency</w:t>
            </w:r>
          </w:p>
        </w:tc>
        <w:tc>
          <w:tcPr>
            <w:tcW w:type="dxa" w:w="5227"/>
            <w:vAlign w:val="center"/>
            <w:tcMar>
              <w:top w:w="90" w:type="dxa"/>
              <w:start w:w="110" w:type="dxa"/>
              <w:bottom w:w="90" w:type="dxa"/>
              <w:end w:w="110" w:type="dxa"/>
            </w:tcMar>
          </w:tcPr>
          <w:p>
            <w:pPr>
              <w:spacing w:after="0"/>
              <w:jc w:val="left"/>
            </w:pPr>
            <w:r/>
            <w:r>
              <w:rPr>
                <w:rFonts w:ascii="Aptos" w:hAnsi="Aptos"/>
                <w:b w:val="0"/>
                <w:color w:val="06140F"/>
                <w:sz w:val="17"/>
              </w:rPr>
              <w:t>When one working copy of a gene cannot make enough product on its own, so losing the second copy causes the trait.</w:t>
            </w:r>
          </w:p>
        </w:tc>
      </w:tr>
      <w:tr>
        <w:tc>
          <w:tcPr>
            <w:tcW w:type="dxa" w:w="5227"/>
            <w:shd w:fill="E9F4ED"/>
            <w:vAlign w:val="center"/>
            <w:tcMar>
              <w:top w:w="90" w:type="dxa"/>
              <w:start w:w="110" w:type="dxa"/>
              <w:bottom w:w="90" w:type="dxa"/>
              <w:end w:w="110" w:type="dxa"/>
            </w:tcMar>
          </w:tcPr>
          <w:p>
            <w:pPr>
              <w:spacing w:after="0"/>
              <w:jc w:val="left"/>
            </w:pPr>
            <w:r/>
            <w:r>
              <w:rPr>
                <w:rFonts w:ascii="Aptos" w:hAnsi="Aptos"/>
                <w:b/>
                <w:color w:val="06140F"/>
                <w:sz w:val="17"/>
              </w:rPr>
              <w:t>dominant-negative</w:t>
            </w:r>
          </w:p>
        </w:tc>
        <w:tc>
          <w:tcPr>
            <w:tcW w:type="dxa" w:w="5227"/>
            <w:vAlign w:val="center"/>
            <w:tcMar>
              <w:top w:w="90" w:type="dxa"/>
              <w:start w:w="110" w:type="dxa"/>
              <w:bottom w:w="90" w:type="dxa"/>
              <w:end w:w="110" w:type="dxa"/>
            </w:tcMar>
          </w:tcPr>
          <w:p>
            <w:pPr>
              <w:spacing w:after="0"/>
              <w:jc w:val="left"/>
            </w:pPr>
            <w:r/>
            <w:r>
              <w:rPr>
                <w:rFonts w:ascii="Aptos" w:hAnsi="Aptos"/>
                <w:b w:val="0"/>
                <w:color w:val="06140F"/>
                <w:sz w:val="17"/>
              </w:rPr>
              <w:t>A faulty protein that not only fails at its own job but also blocks the working protein made from the normal gene copy.</w:t>
            </w:r>
          </w:p>
        </w:tc>
      </w:tr>
      <w:tr>
        <w:tc>
          <w:tcPr>
            <w:tcW w:type="dxa" w:w="5227"/>
            <w:shd w:fill="E9F4ED"/>
            <w:vAlign w:val="center"/>
            <w:tcMar>
              <w:top w:w="90" w:type="dxa"/>
              <w:start w:w="110" w:type="dxa"/>
              <w:bottom w:w="90" w:type="dxa"/>
              <w:end w:w="110" w:type="dxa"/>
            </w:tcMar>
          </w:tcPr>
          <w:p>
            <w:pPr>
              <w:spacing w:after="0"/>
              <w:jc w:val="left"/>
            </w:pPr>
            <w:r/>
            <w:r>
              <w:rPr>
                <w:rFonts w:ascii="Aptos" w:hAnsi="Aptos"/>
                <w:b/>
                <w:color w:val="06140F"/>
                <w:sz w:val="17"/>
              </w:rPr>
              <w:t>DNA-binding domain</w:t>
            </w:r>
          </w:p>
        </w:tc>
        <w:tc>
          <w:tcPr>
            <w:tcW w:type="dxa" w:w="5227"/>
            <w:vAlign w:val="center"/>
            <w:tcMar>
              <w:top w:w="90" w:type="dxa"/>
              <w:start w:w="110" w:type="dxa"/>
              <w:bottom w:w="90" w:type="dxa"/>
              <w:end w:w="110" w:type="dxa"/>
            </w:tcMar>
          </w:tcPr>
          <w:p>
            <w:pPr>
              <w:spacing w:after="0"/>
              <w:jc w:val="left"/>
            </w:pPr>
            <w:r/>
            <w:r>
              <w:rPr>
                <w:rFonts w:ascii="Aptos" w:hAnsi="Aptos"/>
                <w:b w:val="0"/>
                <w:color w:val="06140F"/>
                <w:sz w:val="17"/>
              </w:rPr>
              <w:t>The part of a transcription factor that grips DNA so it can switch target genes on or off.</w:t>
            </w:r>
          </w:p>
        </w:tc>
      </w:tr>
      <w:tr>
        <w:tc>
          <w:tcPr>
            <w:tcW w:type="dxa" w:w="5227"/>
            <w:shd w:fill="E9F4ED"/>
            <w:vAlign w:val="center"/>
            <w:tcMar>
              <w:top w:w="90" w:type="dxa"/>
              <w:start w:w="110" w:type="dxa"/>
              <w:bottom w:w="90" w:type="dxa"/>
              <w:end w:w="110" w:type="dxa"/>
            </w:tcMar>
          </w:tcPr>
          <w:p>
            <w:pPr>
              <w:spacing w:after="0"/>
              <w:jc w:val="left"/>
            </w:pPr>
            <w:r/>
            <w:r>
              <w:rPr>
                <w:rFonts w:ascii="Aptos" w:hAnsi="Aptos"/>
                <w:b/>
                <w:color w:val="06140F"/>
                <w:sz w:val="17"/>
              </w:rPr>
              <w:t>loss of function</w:t>
            </w:r>
          </w:p>
        </w:tc>
        <w:tc>
          <w:tcPr>
            <w:tcW w:type="dxa" w:w="5227"/>
            <w:vAlign w:val="center"/>
            <w:tcMar>
              <w:top w:w="90" w:type="dxa"/>
              <w:start w:w="110" w:type="dxa"/>
              <w:bottom w:w="90" w:type="dxa"/>
              <w:end w:w="110" w:type="dxa"/>
            </w:tcMar>
          </w:tcPr>
          <w:p>
            <w:pPr>
              <w:spacing w:after="0"/>
              <w:jc w:val="left"/>
            </w:pPr>
            <w:r/>
            <w:r>
              <w:rPr>
                <w:rFonts w:ascii="Aptos" w:hAnsi="Aptos"/>
                <w:b w:val="0"/>
                <w:color w:val="06140F"/>
                <w:sz w:val="17"/>
              </w:rPr>
              <w:t>A genetic change that reduces or removes a protein's normal activity, so the cell loses what that protein usually does.</w:t>
            </w:r>
          </w:p>
        </w:tc>
      </w:tr>
      <w:tr>
        <w:tc>
          <w:tcPr>
            <w:tcW w:type="dxa" w:w="5227"/>
            <w:shd w:fill="E9F4ED"/>
            <w:vAlign w:val="center"/>
            <w:tcMar>
              <w:top w:w="90" w:type="dxa"/>
              <w:start w:w="110" w:type="dxa"/>
              <w:bottom w:w="90" w:type="dxa"/>
              <w:end w:w="110" w:type="dxa"/>
            </w:tcMar>
          </w:tcPr>
          <w:p>
            <w:pPr>
              <w:spacing w:after="0"/>
              <w:jc w:val="left"/>
            </w:pPr>
            <w:r/>
            <w:r>
              <w:rPr>
                <w:rFonts w:ascii="Aptos" w:hAnsi="Aptos"/>
                <w:b/>
                <w:color w:val="06140F"/>
                <w:sz w:val="17"/>
              </w:rPr>
              <w:t>genotype-phenotype correlation</w:t>
            </w:r>
          </w:p>
        </w:tc>
        <w:tc>
          <w:tcPr>
            <w:tcW w:type="dxa" w:w="5227"/>
            <w:vAlign w:val="center"/>
            <w:tcMar>
              <w:top w:w="90" w:type="dxa"/>
              <w:start w:w="110" w:type="dxa"/>
              <w:bottom w:w="90" w:type="dxa"/>
              <w:end w:w="110" w:type="dxa"/>
            </w:tcMar>
          </w:tcPr>
          <w:p>
            <w:pPr>
              <w:spacing w:after="0"/>
              <w:jc w:val="left"/>
            </w:pPr>
            <w:r/>
            <w:r>
              <w:rPr>
                <w:rFonts w:ascii="Aptos" w:hAnsi="Aptos"/>
                <w:b w:val="0"/>
                <w:color w:val="06140F"/>
                <w:sz w:val="17"/>
              </w:rPr>
              <w:t>A link between which gene variant a person carries and which features or how severe a condition they show.</w:t>
            </w:r>
          </w:p>
        </w:tc>
      </w:tr>
    </w:tbl>
    <w:p>
      <w:pPr>
        <w:pStyle w:val="Heading1"/>
      </w:pPr>
      <w:r>
        <w:t>Next lesson unlock</w:t>
      </w:r>
    </w:p>
    <w:p>
      <w:pPr>
        <w:spacing w:after="100"/>
      </w:pPr>
      <w:r>
        <w:t>The harmful IRF6 changes we studied are rare and cause syndromes. Most clefts are isolated and common. Where is the common, hidden variant, and why have we not seen it in the protein code?</w:t>
      </w:r>
    </w:p>
    <w:p>
      <w:r>
        <w:rPr>
          <w:i/>
          <w:color w:val="5C6F65"/>
        </w:rPr>
        <w:t>The journal links on the lesson page are optional. Everything required for this guided-notes set is already supplied here and in the case file.</w:t>
      </w:r>
    </w:p>
    <w:sectPr w:rsidR="00FC693F" w:rsidRPr="0006063C" w:rsidSect="00034616">
      <w:headerReference w:type="default" r:id="rId9"/>
      <w:footerReference w:type="default" r:id="rId10"/>
      <w:pgSz w:w="12240" w:h="15840"/>
      <w:pgMar w:top="835" w:right="893" w:bottom="792" w:left="893" w:header="360" w:footer="36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right"/>
    </w:pPr>
    <w:r>
      <w:rPr>
        <w:rFonts w:ascii="Aptos" w:hAnsi="Aptos"/>
        <w:color w:val="5C6F65"/>
        <w:sz w:val="16"/>
      </w:rPr>
      <w:t xml:space="preserve">Page </w:t>
    </w:r>
    <w:fldSimple w:instr="PAGE"/>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spacing w:after="0"/>
      <w:jc w:val="left"/>
    </w:pPr>
    <w:r>
      <w:rPr>
        <w:rFonts w:ascii="Aptos" w:hAnsi="Aptos"/>
        <w:b/>
        <w:color w:val="2FD27A"/>
        <w:sz w:val="16"/>
      </w:rPr>
      <w:t>JOHN HAY BIOMEDICAL  |  THE BABY MATEO CASE</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00" w:line="259" w:lineRule="auto"/>
    </w:pPr>
    <w:rPr>
      <w:rFonts w:ascii="Aptos" w:hAnsi="Aptos"/>
      <w:color w:val="06140F"/>
      <w:sz w:val="20"/>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120" w:after="100"/>
      <w:outlineLvl w:val="0"/>
    </w:pPr>
    <w:rPr>
      <w:rFonts w:asciiTheme="majorHAnsi" w:eastAsiaTheme="majorEastAsia" w:hAnsiTheme="majorHAnsi" w:cstheme="majorBidi" w:ascii="Aptos Display" w:hAnsi="Aptos Display"/>
      <w:b/>
      <w:bCs/>
      <w:color w:val="06140F"/>
      <w:sz w:val="38"/>
      <w:szCs w:val="28"/>
    </w:rPr>
  </w:style>
  <w:style w:type="paragraph" w:styleId="Heading2">
    <w:name w:val="heading 2"/>
    <w:basedOn w:val="Normal"/>
    <w:next w:val="Normal"/>
    <w:link w:val="Heading2Char"/>
    <w:uiPriority w:val="9"/>
    <w:unhideWhenUsed/>
    <w:qFormat/>
    <w:rsid w:val="00FC693F"/>
    <w:pPr>
      <w:keepNext/>
      <w:keepLines/>
      <w:spacing w:before="120" w:after="100"/>
      <w:outlineLvl w:val="1"/>
    </w:pPr>
    <w:rPr>
      <w:rFonts w:asciiTheme="majorHAnsi" w:eastAsiaTheme="majorEastAsia" w:hAnsiTheme="majorHAnsi" w:cstheme="majorBidi" w:ascii="Aptos Display" w:hAnsi="Aptos Display"/>
      <w:b/>
      <w:bCs/>
      <w:color w:val="123426"/>
      <w:sz w:val="26"/>
      <w:szCs w:val="26"/>
    </w:rPr>
  </w:style>
  <w:style w:type="paragraph" w:styleId="Heading3">
    <w:name w:val="heading 3"/>
    <w:basedOn w:val="Normal"/>
    <w:next w:val="Normal"/>
    <w:link w:val="Heading3Char"/>
    <w:uiPriority w:val="9"/>
    <w:unhideWhenUsed/>
    <w:qFormat/>
    <w:rsid w:val="00FC693F"/>
    <w:pPr>
      <w:keepNext/>
      <w:keepLines/>
      <w:spacing w:before="120" w:after="100"/>
      <w:outlineLvl w:val="2"/>
    </w:pPr>
    <w:rPr>
      <w:rFonts w:asciiTheme="majorHAnsi" w:eastAsiaTheme="majorEastAsia" w:hAnsiTheme="majorHAnsi" w:cstheme="majorBidi" w:ascii="Aptos Display" w:hAnsi="Aptos Display"/>
      <w:b/>
      <w:bCs/>
      <w:color w:val="2FD27A"/>
      <w:sz w:val="20"/>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100" w:line="240" w:lineRule="auto" w:before="120"/>
      <w:contextualSpacing/>
    </w:pPr>
    <w:rPr>
      <w:rFonts w:asciiTheme="majorHAnsi" w:eastAsiaTheme="majorEastAsia" w:hAnsiTheme="majorHAnsi" w:cstheme="majorBidi" w:ascii="Aptos Display" w:hAnsi="Aptos Display"/>
      <w:b/>
      <w:color w:val="06140F"/>
      <w:spacing w:val="5"/>
      <w:kern w:val="28"/>
      <w:sz w:val="56"/>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image" Target="media/image1.jpg"/><Relationship Id="rId12"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Genetics Lesson 8: Guided Notes</dc:title>
  <dc:subject>Socratic guided notes aligned to the lesson deck</dc:subject>
  <dc:creator>John Hay Biomedical</dc:creator>
  <cp:keywords/>
  <dc:description>generated by python-docx</dc:description>
  <cp:lastModifiedBy/>
  <cp:revision>1</cp:revision>
  <dcterms:created xsi:type="dcterms:W3CDTF">2013-12-23T23:15:00Z</dcterms:created>
  <dcterms:modified xsi:type="dcterms:W3CDTF">2013-12-23T23:15:00Z</dcterms:modified>
  <cp:category/>
</cp:coreProperties>
</file>