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60"/>
      </w:pPr>
      <w:r>
        <w:rPr>
          <w:rFonts w:ascii="Aptos" w:hAnsi="Aptos"/>
          <w:b/>
          <w:color w:val="2FD27A"/>
          <w:sz w:val="16"/>
        </w:rPr>
        <w:t>EXPERIMENTAL DESIGN DOMAIN | LESSON 18 OF 20 | BIOETHICIST / IRB LIAISON</w:t>
      </w:r>
    </w:p>
    <w:p>
      <w:pPr>
        <w:pStyle w:val="Title"/>
        <w:spacing w:after="80"/>
      </w:pPr>
      <w:r>
        <w:t>What Makes Research on Children Ethical?</w:t>
      </w:r>
    </w:p>
    <w:p>
      <w:pPr>
        <w:spacing w:after="200"/>
      </w:pPr>
      <w:r>
        <w:rPr>
          <w:rFonts w:ascii="Aptos" w:hAnsi="Aptos"/>
          <w:color w:val="5C6F65"/>
          <w:sz w:val="22"/>
        </w:rPr>
        <w:t>What has to be true before scientists are allowed to study a baby like Mateo?</w:t>
      </w:r>
    </w:p>
    <w:tbl>
      <w:tblPr>
        <w:tblW w:type="auto" w:w="0"/>
        <w:jc w:val="center"/>
        <w:tblLayout w:type="fixed"/>
        <w:tblLook w:firstColumn="1" w:firstRow="1" w:lastColumn="0" w:lastRow="0" w:noHBand="0" w:noVBand="1" w:val="04A0"/>
      </w:tblPr>
      <w:tblGrid>
        <w:gridCol w:w="5227"/>
        <w:gridCol w:w="5227"/>
      </w:tblGrid>
      <w:tr>
        <w:tc>
          <w:tcPr>
            <w:tcW w:type="dxa" w:w="5054"/>
            <w:shd w:fill="E9F4ED"/>
            <w:tcMar>
              <w:top w:w="130" w:type="dxa"/>
              <w:start w:w="145" w:type="dxa"/>
              <w:bottom w:w="130" w:type="dxa"/>
              <w:end w:w="145" w:type="dxa"/>
            </w:tcMar>
          </w:tcPr>
          <w:p>
            <w:pPr>
              <w:spacing w:after="60"/>
            </w:pPr>
            <w:r/>
            <w:r>
              <w:rPr>
                <w:rFonts w:ascii="Aptos" w:hAnsi="Aptos"/>
                <w:b/>
                <w:color w:val="2FD27A"/>
                <w:sz w:val="16"/>
              </w:rPr>
              <w:t>CARRY FORWARD</w:t>
            </w:r>
          </w:p>
          <w:p>
            <w:pPr>
              <w:spacing w:after="0"/>
            </w:pPr>
            <w:r>
              <w:rPr>
                <w:rFonts w:ascii="Aptos" w:hAnsi="Aptos"/>
                <w:b/>
                <w:color w:val="06140F"/>
                <w:sz w:val="20"/>
              </w:rPr>
              <w:t>Systematic reviews reduce cherry-picking, while meta-analysis is credible only when studies and pooling assumptions support it.</w:t>
            </w:r>
          </w:p>
        </w:tc>
        <w:tc>
          <w:tcPr>
            <w:tcW w:type="dxa" w:w="5054"/>
            <w:shd w:fill="FFF7D5"/>
            <w:tcMar>
              <w:top w:w="130" w:type="dxa"/>
              <w:start w:w="145" w:type="dxa"/>
              <w:bottom w:w="130" w:type="dxa"/>
              <w:end w:w="145" w:type="dxa"/>
            </w:tcMar>
          </w:tcPr>
          <w:p>
            <w:pPr>
              <w:spacing w:after="60"/>
            </w:pPr>
            <w:r/>
            <w:r>
              <w:rPr>
                <w:rFonts w:ascii="Aptos" w:hAnsi="Aptos"/>
                <w:b/>
                <w:color w:val="8A6B00"/>
                <w:sz w:val="16"/>
              </w:rPr>
              <w:t>10-YEAR TAKEAWAY</w:t>
            </w:r>
          </w:p>
          <w:p>
            <w:pPr>
              <w:spacing w:after="0"/>
            </w:pPr>
            <w:r>
              <w:rPr>
                <w:rFonts w:ascii="Aptos" w:hAnsi="Aptos"/>
                <w:b/>
                <w:color w:val="06140F"/>
                <w:sz w:val="20"/>
              </w:rPr>
              <w:t>Child research requires favorable risk and benefit, IRB review, parental permission, and affirmative assent when the child is capable.</w:t>
            </w:r>
          </w:p>
        </w:tc>
      </w:tr>
    </w:tbl>
    <w:p/>
    <w:tbl>
      <w:tblPr>
        <w:tblW w:type="auto" w:w="0"/>
        <w:jc w:val="center"/>
        <w:tblLayout w:type="fixed"/>
        <w:tblLook w:firstColumn="1" w:firstRow="1" w:lastColumn="0" w:lastRow="0" w:noHBand="0" w:noVBand="1" w:val="04A0"/>
      </w:tblPr>
      <w:tblGrid>
        <w:gridCol w:w="2613"/>
        <w:gridCol w:w="2613"/>
        <w:gridCol w:w="2613"/>
        <w:gridCol w:w="2613"/>
      </w:tblGrid>
      <w:tr>
        <w:tc>
          <w:tcPr>
            <w:tcW w:type="dxa" w:w="2613"/>
            <w:shd w:fill="2FD27A"/>
            <w:vAlign w:val="center"/>
            <w:tcMar>
              <w:top w:w="90" w:type="dxa"/>
              <w:start w:w="110" w:type="dxa"/>
              <w:bottom w:w="90" w:type="dxa"/>
              <w:end w:w="110" w:type="dxa"/>
            </w:tcMar>
          </w:tcPr>
          <w:p>
            <w:pPr>
              <w:spacing w:after="0"/>
              <w:jc w:val="center"/>
            </w:pPr>
            <w:r/>
            <w:r>
              <w:rPr>
                <w:rFonts w:ascii="Aptos" w:hAnsi="Aptos"/>
                <w:b/>
                <w:color w:val="06140F"/>
                <w:sz w:val="17"/>
              </w:rPr>
              <w:t>Cells differentiate</w:t>
            </w:r>
          </w:p>
        </w:tc>
        <w:tc>
          <w:tcPr>
            <w:tcW w:type="dxa" w:w="2613"/>
            <w:shd w:fill="E9F4ED"/>
            <w:vAlign w:val="center"/>
            <w:tcMar>
              <w:top w:w="90" w:type="dxa"/>
              <w:start w:w="110" w:type="dxa"/>
              <w:bottom w:w="90" w:type="dxa"/>
              <w:end w:w="110" w:type="dxa"/>
            </w:tcMar>
          </w:tcPr>
          <w:p>
            <w:pPr>
              <w:spacing w:after="0"/>
              <w:jc w:val="center"/>
            </w:pPr>
            <w:r/>
            <w:r>
              <w:rPr>
                <w:rFonts w:ascii="Aptos" w:hAnsi="Aptos"/>
                <w:b/>
                <w:color w:val="06140F"/>
                <w:sz w:val="17"/>
              </w:rPr>
              <w:t>Development sculpts</w:t>
            </w:r>
          </w:p>
        </w:tc>
        <w:tc>
          <w:tcPr>
            <w:tcW w:type="dxa" w:w="2613"/>
            <w:shd w:fill="E9F4ED"/>
            <w:vAlign w:val="center"/>
            <w:tcMar>
              <w:top w:w="90" w:type="dxa"/>
              <w:start w:w="110" w:type="dxa"/>
              <w:bottom w:w="90" w:type="dxa"/>
              <w:end w:w="110" w:type="dxa"/>
            </w:tcMar>
          </w:tcPr>
          <w:p>
            <w:pPr>
              <w:spacing w:after="0"/>
              <w:jc w:val="center"/>
            </w:pPr>
            <w:r/>
            <w:r>
              <w:rPr>
                <w:rFonts w:ascii="Aptos" w:hAnsi="Aptos"/>
                <w:b/>
                <w:color w:val="06140F"/>
                <w:sz w:val="17"/>
              </w:rPr>
              <w:t>Cells move</w:t>
            </w:r>
          </w:p>
        </w:tc>
        <w:tc>
          <w:tcPr>
            <w:tcW w:type="dxa" w:w="2613"/>
            <w:shd w:fill="E9F4ED"/>
            <w:vAlign w:val="center"/>
            <w:tcMar>
              <w:top w:w="90" w:type="dxa"/>
              <w:start w:w="110" w:type="dxa"/>
              <w:bottom w:w="90" w:type="dxa"/>
              <w:end w:w="110" w:type="dxa"/>
            </w:tcMar>
          </w:tcPr>
          <w:p>
            <w:pPr>
              <w:spacing w:after="0"/>
              <w:jc w:val="center"/>
            </w:pPr>
            <w:r/>
            <w:r>
              <w:rPr>
                <w:rFonts w:ascii="Aptos" w:hAnsi="Aptos"/>
                <w:b/>
                <w:color w:val="06140F"/>
                <w:sz w:val="17"/>
              </w:rPr>
              <w:t>Development can go wrong</w:t>
            </w:r>
          </w:p>
        </w:tc>
      </w:tr>
    </w:tbl>
    <w:p>
      <w:pPr>
        <w:pStyle w:val="Heading1"/>
      </w:pPr>
      <w:r>
        <w:t>1. Observe the analogy before naming the biology</w:t>
      </w:r>
    </w:p>
    <w:p>
      <w:pPr>
        <w:spacing w:after="40"/>
        <w:jc w:val="center"/>
      </w:pPr>
      <w:r>
        <w:drawing>
          <wp:inline xmlns:a="http://schemas.openxmlformats.org/drawingml/2006/main" xmlns:pic="http://schemas.openxmlformats.org/drawingml/2006/picture">
            <wp:extent cx="3108960" cy="3108960"/>
            <wp:docPr id="1" name="Picture 1"/>
            <wp:cNvGraphicFramePr>
              <a:graphicFrameLocks noChangeAspect="1"/>
            </wp:cNvGraphicFramePr>
            <a:graphic>
              <a:graphicData uri="http://schemas.openxmlformats.org/drawingml/2006/picture">
                <pic:pic>
                  <pic:nvPicPr>
                    <pic:cNvPr id="0" name="image.jpg"/>
                    <pic:cNvPicPr/>
                  </pic:nvPicPr>
                  <pic:blipFill>
                    <a:blip r:embed="rId11"/>
                    <a:stretch>
                      <a:fillRect/>
                    </a:stretch>
                  </pic:blipFill>
                  <pic:spPr>
                    <a:xfrm>
                      <a:off x="0" y="0"/>
                      <a:ext cx="3108960" cy="3108960"/>
                    </a:xfrm>
                    <a:prstGeom prst="rect"/>
                  </pic:spPr>
                </pic:pic>
              </a:graphicData>
            </a:graphic>
          </wp:inline>
        </w:drawing>
      </w:r>
    </w:p>
    <w:p>
      <w:pPr>
        <w:spacing w:after="100"/>
        <w:jc w:val="center"/>
      </w:pPr>
      <w:r>
        <w:rPr>
          <w:rFonts w:ascii="Aptos" w:hAnsi="Aptos"/>
          <w:i/>
          <w:color w:val="5C6F65"/>
          <w:sz w:val="15"/>
        </w:rPr>
        <w:t>Illustration: A field trip needs safety review, adult permission, and child agreement</w:t>
      </w:r>
    </w:p>
    <w:p>
      <w:pPr>
        <w:spacing w:after="40"/>
      </w:pPr>
      <w:r>
        <w:rPr>
          <w:b/>
          <w:color w:val="2FD27A"/>
        </w:rPr>
        <w:t xml:space="preserve">1. </w:t>
      </w:r>
      <w:r>
        <w:rPr>
          <w:sz w:val="20"/>
        </w:rPr>
        <w:t>Who reviews the plan before anyone joins?</w:t>
      </w:r>
    </w:p>
    <w:p>
      <w:pPr>
        <w:spacing w:after="20"/>
      </w:pPr>
      <w:r>
        <w:rPr>
          <w:color w:val="B8C9C0"/>
          <w:sz w:val="16"/>
        </w:rPr>
        <w:t>________________________________________________________________________________</w:t>
      </w:r>
    </w:p>
    <w:p>
      <w:pPr>
        <w:spacing w:after="40"/>
      </w:pPr>
      <w:r>
        <w:rPr>
          <w:b/>
          <w:color w:val="2FD27A"/>
        </w:rPr>
        <w:t xml:space="preserve">2. </w:t>
      </w:r>
      <w:r>
        <w:rPr>
          <w:sz w:val="20"/>
        </w:rPr>
        <w:t>Whose permission is needed?</w:t>
      </w:r>
    </w:p>
    <w:p>
      <w:pPr>
        <w:spacing w:after="20"/>
      </w:pPr>
      <w:r>
        <w:rPr>
          <w:color w:val="B8C9C0"/>
          <w:sz w:val="16"/>
        </w:rPr>
        <w:t>________________________________________________________________________________</w:t>
      </w:r>
    </w:p>
    <w:p>
      <w:pPr>
        <w:spacing w:after="40"/>
      </w:pPr>
      <w:r>
        <w:rPr>
          <w:b/>
          <w:color w:val="2FD27A"/>
        </w:rPr>
        <w:t xml:space="preserve">3. </w:t>
      </w:r>
      <w:r>
        <w:rPr>
          <w:sz w:val="20"/>
        </w:rPr>
        <w:t>How can a child show an affirmative choice?</w:t>
      </w:r>
    </w:p>
    <w:p>
      <w:pPr>
        <w:spacing w:after="20"/>
      </w:pPr>
      <w:r>
        <w:rPr>
          <w:color w:val="B8C9C0"/>
          <w:sz w:val="16"/>
        </w:rPr>
        <w:t>________________________________________________________________________________</w:t>
      </w:r>
    </w:p>
    <w:p>
      <w:r>
        <w:br w:type="page"/>
      </w:r>
    </w:p>
    <w:p>
      <w:pPr>
        <w:spacing w:after="60"/>
      </w:pPr>
      <w:r>
        <w:rPr>
          <w:rFonts w:ascii="Aptos" w:hAnsi="Aptos"/>
          <w:b/>
          <w:color w:val="2FD27A"/>
          <w:sz w:val="16"/>
        </w:rPr>
        <w:t>EXPERIMENTAL DESIGN LESSON 18 | RULES AND BIOLOGY MAPPING</w:t>
      </w:r>
    </w:p>
    <w:tbl>
      <w:tblPr>
        <w:tblW w:type="auto" w:w="0"/>
        <w:jc w:val="center"/>
        <w:tblLayout w:type="fixed"/>
        <w:tblLook w:firstColumn="1" w:firstRow="1" w:lastColumn="0" w:lastRow="0" w:noHBand="0" w:noVBand="1" w:val="04A0"/>
      </w:tblPr>
      <w:tblGrid>
        <w:gridCol w:w="10339"/>
      </w:tblGrid>
      <w:tr>
        <w:tc>
          <w:tcPr>
            <w:tcW w:type="dxa" w:w="10454"/>
            <w:shd w:fill="06140F"/>
            <w:vAlign w:val="center"/>
            <w:tcMar>
              <w:top w:w="90" w:type="dxa"/>
              <w:start w:w="110" w:type="dxa"/>
              <w:bottom w:w="90" w:type="dxa"/>
              <w:end w:w="110" w:type="dxa"/>
            </w:tcMar>
          </w:tcPr>
          <w:p>
            <w:pPr>
              <w:spacing w:after="0"/>
              <w:jc w:val="left"/>
            </w:pPr>
            <w:r/>
            <w:r>
              <w:rPr>
                <w:rFonts w:ascii="Aptos" w:hAnsi="Aptos"/>
                <w:b/>
                <w:color w:val="F7F3E8"/>
                <w:sz w:val="20"/>
              </w:rPr>
              <w:t>2. Turn observations into rules</w:t>
            </w:r>
          </w:p>
        </w:tc>
      </w:tr>
    </w:tbl>
    <w:p>
      <w:pPr>
        <w:spacing w:after="0"/>
      </w:pPr>
    </w:p>
    <w:p>
      <w:pPr>
        <w:spacing w:after="40"/>
      </w:pPr>
      <w:r>
        <w:rPr>
          <w:b/>
          <w:color w:val="2FD27A"/>
        </w:rPr>
        <w:t xml:space="preserve">1. </w:t>
      </w:r>
      <w:r>
        <w:rPr>
          <w:sz w:val="20"/>
        </w:rPr>
        <w:t>Rule 1: Use added protections for children and minimize risk. Explain it in your own words.</w:t>
      </w:r>
    </w:p>
    <w:p>
      <w:pPr>
        <w:spacing w:after="20"/>
      </w:pPr>
      <w:r>
        <w:rPr>
          <w:color w:val="B8C9C0"/>
          <w:sz w:val="16"/>
        </w:rPr>
        <w:t>________________________________________________________________________________</w:t>
      </w:r>
    </w:p>
    <w:p>
      <w:pPr>
        <w:spacing w:after="40"/>
      </w:pPr>
      <w:r>
        <w:rPr>
          <w:b/>
          <w:color w:val="2FD27A"/>
        </w:rPr>
        <w:t xml:space="preserve">2. </w:t>
      </w:r>
      <w:r>
        <w:rPr>
          <w:sz w:val="20"/>
        </w:rPr>
        <w:t>Rule 2: Obtain parental permission unless an approved exception applies. Explain it in your own words.</w:t>
      </w:r>
    </w:p>
    <w:p>
      <w:pPr>
        <w:spacing w:after="20"/>
      </w:pPr>
      <w:r>
        <w:rPr>
          <w:color w:val="B8C9C0"/>
          <w:sz w:val="16"/>
        </w:rPr>
        <w:t>________________________________________________________________________________</w:t>
      </w:r>
    </w:p>
    <w:p>
      <w:pPr>
        <w:spacing w:after="40"/>
      </w:pPr>
      <w:r>
        <w:rPr>
          <w:b/>
          <w:color w:val="2FD27A"/>
        </w:rPr>
        <w:t xml:space="preserve">3. </w:t>
      </w:r>
      <w:r>
        <w:rPr>
          <w:sz w:val="20"/>
        </w:rPr>
        <w:t>Rule 3: Seek affirmative, age-appropriate assent when the child is capable. Explain it in your own words.</w:t>
      </w:r>
    </w:p>
    <w:p>
      <w:pPr>
        <w:spacing w:after="20"/>
      </w:pPr>
      <w:r>
        <w:rPr>
          <w:color w:val="B8C9C0"/>
          <w:sz w:val="16"/>
        </w:rPr>
        <w:t>________________________________________________________________________________</w:t>
      </w:r>
    </w:p>
    <w:p>
      <w:r>
        <w:rPr>
          <w:b/>
          <w:color w:val="F5C542"/>
        </w:rPr>
        <w:t xml:space="preserve">Where the analogy stops: </w:t>
      </w:r>
      <w:r>
        <w:t>Research ethics is governed by regulations, context, and individual capacity, not one school-trip form.</w:t>
      </w:r>
    </w:p>
    <w:p>
      <w:pPr>
        <w:pStyle w:val="Heading1"/>
      </w:pPr>
      <w:r>
        <w:t>3. Map the rules onto the biomedical example</w:t>
      </w:r>
    </w:p>
    <w:p>
      <w:pPr>
        <w:spacing w:after="40"/>
        <w:jc w:val="center"/>
      </w:pPr>
      <w:r>
        <w:drawing>
          <wp:inline xmlns:a="http://schemas.openxmlformats.org/drawingml/2006/main" xmlns:pic="http://schemas.openxmlformats.org/drawingml/2006/picture">
            <wp:extent cx="3063240" cy="3063240"/>
            <wp:docPr id="2" name="Picture 2"/>
            <wp:cNvGraphicFramePr>
              <a:graphicFrameLocks noChangeAspect="1"/>
            </wp:cNvGraphicFramePr>
            <a:graphic>
              <a:graphicData uri="http://schemas.openxmlformats.org/drawingml/2006/picture">
                <pic:pic>
                  <pic:nvPicPr>
                    <pic:cNvPr id="0" name="image.jpg"/>
                    <pic:cNvPicPr/>
                  </pic:nvPicPr>
                  <pic:blipFill>
                    <a:blip r:embed="rId12"/>
                    <a:stretch>
                      <a:fillRect/>
                    </a:stretch>
                  </pic:blipFill>
                  <pic:spPr>
                    <a:xfrm>
                      <a:off x="0" y="0"/>
                      <a:ext cx="3063240" cy="3063240"/>
                    </a:xfrm>
                    <a:prstGeom prst="rect"/>
                  </pic:spPr>
                </pic:pic>
              </a:graphicData>
            </a:graphic>
          </wp:inline>
        </w:drawing>
      </w:r>
    </w:p>
    <w:p>
      <w:pPr>
        <w:spacing w:after="100"/>
        <w:jc w:val="center"/>
      </w:pPr>
      <w:r>
        <w:rPr>
          <w:rFonts w:ascii="Aptos" w:hAnsi="Aptos"/>
          <w:i/>
          <w:color w:val="5C6F65"/>
          <w:sz w:val="15"/>
        </w:rPr>
        <w:t>Biomedical teaching illustration: Apply Subpart D protections to a pediatric speech study</w:t>
      </w:r>
    </w:p>
    <w:tbl>
      <w:tblPr>
        <w:tblStyle w:val="TableGrid"/>
        <w:tblW w:type="auto" w:w="0"/>
        <w:jc w:val="center"/>
        <w:tblLook w:firstColumn="1" w:firstRow="1" w:lastColumn="0" w:lastRow="0" w:noHBand="0" w:noVBand="1" w:val="04A0"/>
      </w:tblPr>
      <w:tblGrid>
        <w:gridCol w:w="3485"/>
        <w:gridCol w:w="3485"/>
        <w:gridCol w:w="3485"/>
      </w:tblGrid>
      <w:tr>
        <w:tc>
          <w:tcPr>
            <w:tcW w:type="dxa" w:w="3485"/>
            <w:shd w:fill="123426"/>
            <w:vAlign w:val="center"/>
            <w:tcMar>
              <w:top w:w="90" w:type="dxa"/>
              <w:start w:w="110" w:type="dxa"/>
              <w:bottom w:w="90" w:type="dxa"/>
              <w:end w:w="110" w:type="dxa"/>
            </w:tcMar>
          </w:tcPr>
          <w:p>
            <w:pPr>
              <w:spacing w:after="0"/>
              <w:jc w:val="left"/>
            </w:pPr>
            <w:r/>
            <w:r>
              <w:rPr>
                <w:rFonts w:ascii="Aptos" w:hAnsi="Aptos"/>
                <w:b/>
                <w:color w:val="F7F3E8"/>
                <w:sz w:val="17"/>
              </w:rPr>
              <w:t>Analogy step</w:t>
            </w:r>
          </w:p>
        </w:tc>
        <w:tc>
          <w:tcPr>
            <w:tcW w:type="dxa" w:w="3485"/>
            <w:shd w:fill="123426"/>
            <w:vAlign w:val="center"/>
            <w:tcMar>
              <w:top w:w="90" w:type="dxa"/>
              <w:start w:w="110" w:type="dxa"/>
              <w:bottom w:w="90" w:type="dxa"/>
              <w:end w:w="110" w:type="dxa"/>
            </w:tcMar>
          </w:tcPr>
          <w:p>
            <w:pPr>
              <w:spacing w:after="0"/>
              <w:jc w:val="left"/>
            </w:pPr>
            <w:r/>
            <w:r>
              <w:rPr>
                <w:rFonts w:ascii="Aptos" w:hAnsi="Aptos"/>
                <w:b/>
                <w:color w:val="F7F3E8"/>
                <w:sz w:val="17"/>
              </w:rPr>
              <w:t>Biology step</w:t>
            </w:r>
          </w:p>
        </w:tc>
        <w:tc>
          <w:tcPr>
            <w:tcW w:type="dxa" w:w="3485"/>
            <w:shd w:fill="123426"/>
            <w:vAlign w:val="center"/>
            <w:tcMar>
              <w:top w:w="90" w:type="dxa"/>
              <w:start w:w="110" w:type="dxa"/>
              <w:bottom w:w="90" w:type="dxa"/>
              <w:end w:w="110" w:type="dxa"/>
            </w:tcMar>
          </w:tcPr>
          <w:p>
            <w:pPr>
              <w:spacing w:after="0"/>
              <w:jc w:val="left"/>
            </w:pPr>
            <w:r/>
            <w:r>
              <w:rPr>
                <w:rFonts w:ascii="Aptos" w:hAnsi="Aptos"/>
                <w:b/>
                <w:color w:val="F7F3E8"/>
                <w:sz w:val="17"/>
              </w:rPr>
              <w:t>How the relationship stays the same</w:t>
            </w:r>
          </w:p>
        </w:tc>
      </w:tr>
      <w:tr>
        <w:tc>
          <w:tcPr>
            <w:tcW w:type="dxa" w:w="3485"/>
            <w:vAlign w:val="center"/>
            <w:tcMar>
              <w:top w:w="90" w:type="dxa"/>
              <w:start w:w="110" w:type="dxa"/>
              <w:bottom w:w="90" w:type="dxa"/>
              <w:end w:w="110" w:type="dxa"/>
            </w:tcMar>
          </w:tcPr>
          <w:p>
            <w:pPr>
              <w:spacing w:after="0"/>
              <w:jc w:val="left"/>
            </w:pPr>
            <w:r/>
            <w:r>
              <w:rPr>
                <w:rFonts w:ascii="Aptos" w:hAnsi="Aptos"/>
                <w:b/>
                <w:color w:val="06140F"/>
                <w:sz w:val="17"/>
              </w:rPr>
              <w:t>Independent safety review</w:t>
            </w:r>
          </w:p>
        </w:tc>
        <w:tc>
          <w:tcPr>
            <w:tcW w:type="dxa" w:w="3485"/>
            <w:vAlign w:val="center"/>
            <w:tcMar>
              <w:top w:w="90" w:type="dxa"/>
              <w:start w:w="110" w:type="dxa"/>
              <w:bottom w:w="90" w:type="dxa"/>
              <w:end w:w="110" w:type="dxa"/>
            </w:tcMar>
          </w:tcPr>
          <w:p>
            <w:pPr>
              <w:spacing w:after="0"/>
              <w:jc w:val="left"/>
            </w:pPr>
            <w:r/>
            <w:r>
              <w:rPr>
                <w:rFonts w:ascii="Aptos" w:hAnsi="Aptos"/>
                <w:b w:val="0"/>
                <w:color w:val="06140F"/>
                <w:sz w:val="17"/>
              </w:rPr>
              <w:t>IRB review</w:t>
            </w:r>
          </w:p>
        </w:tc>
        <w:tc>
          <w:tcPr>
            <w:tcW w:type="dxa" w:w="3485"/>
            <w:vAlign w:val="center"/>
            <w:tcMar>
              <w:top w:w="90" w:type="dxa"/>
              <w:start w:w="110" w:type="dxa"/>
              <w:bottom w:w="90" w:type="dxa"/>
              <w:end w:w="110" w:type="dxa"/>
            </w:tcMar>
          </w:tcPr>
          <w:p>
            <w:pPr>
              <w:spacing w:after="0"/>
              <w:jc w:val="left"/>
            </w:pPr>
            <w:r/>
            <w:r>
              <w:rPr>
                <w:rFonts w:ascii="Aptos" w:hAnsi="Aptos"/>
                <w:b w:val="0"/>
                <w:color w:val="5C6F65"/>
                <w:sz w:val="17"/>
              </w:rPr>
              <w:t>________________________________</w:t>
            </w:r>
          </w:p>
        </w:tc>
      </w:tr>
      <w:tr>
        <w:tc>
          <w:tcPr>
            <w:tcW w:type="dxa" w:w="3485"/>
            <w:vAlign w:val="center"/>
            <w:tcMar>
              <w:top w:w="90" w:type="dxa"/>
              <w:start w:w="110" w:type="dxa"/>
              <w:bottom w:w="90" w:type="dxa"/>
              <w:end w:w="110" w:type="dxa"/>
            </w:tcMar>
          </w:tcPr>
          <w:p>
            <w:pPr>
              <w:spacing w:after="0"/>
              <w:jc w:val="left"/>
            </w:pPr>
            <w:r/>
            <w:r>
              <w:rPr>
                <w:rFonts w:ascii="Aptos" w:hAnsi="Aptos"/>
                <w:b/>
                <w:color w:val="06140F"/>
                <w:sz w:val="17"/>
              </w:rPr>
              <w:t>Caregiver form</w:t>
            </w:r>
          </w:p>
        </w:tc>
        <w:tc>
          <w:tcPr>
            <w:tcW w:type="dxa" w:w="3485"/>
            <w:vAlign w:val="center"/>
            <w:tcMar>
              <w:top w:w="90" w:type="dxa"/>
              <w:start w:w="110" w:type="dxa"/>
              <w:bottom w:w="90" w:type="dxa"/>
              <w:end w:w="110" w:type="dxa"/>
            </w:tcMar>
          </w:tcPr>
          <w:p>
            <w:pPr>
              <w:spacing w:after="0"/>
              <w:jc w:val="left"/>
            </w:pPr>
            <w:r/>
            <w:r>
              <w:rPr>
                <w:rFonts w:ascii="Aptos" w:hAnsi="Aptos"/>
                <w:b w:val="0"/>
                <w:color w:val="06140F"/>
                <w:sz w:val="17"/>
              </w:rPr>
              <w:t>Parental permission</w:t>
            </w:r>
          </w:p>
        </w:tc>
        <w:tc>
          <w:tcPr>
            <w:tcW w:type="dxa" w:w="3485"/>
            <w:vAlign w:val="center"/>
            <w:tcMar>
              <w:top w:w="90" w:type="dxa"/>
              <w:start w:w="110" w:type="dxa"/>
              <w:bottom w:w="90" w:type="dxa"/>
              <w:end w:w="110" w:type="dxa"/>
            </w:tcMar>
          </w:tcPr>
          <w:p>
            <w:pPr>
              <w:spacing w:after="0"/>
              <w:jc w:val="left"/>
            </w:pPr>
            <w:r/>
            <w:r>
              <w:rPr>
                <w:rFonts w:ascii="Aptos" w:hAnsi="Aptos"/>
                <w:b w:val="0"/>
                <w:color w:val="5C6F65"/>
                <w:sz w:val="17"/>
              </w:rPr>
              <w:t>________________________________</w:t>
            </w:r>
          </w:p>
        </w:tc>
      </w:tr>
      <w:tr>
        <w:tc>
          <w:tcPr>
            <w:tcW w:type="dxa" w:w="3485"/>
            <w:vAlign w:val="center"/>
            <w:tcMar>
              <w:top w:w="90" w:type="dxa"/>
              <w:start w:w="110" w:type="dxa"/>
              <w:bottom w:w="90" w:type="dxa"/>
              <w:end w:w="110" w:type="dxa"/>
            </w:tcMar>
          </w:tcPr>
          <w:p>
            <w:pPr>
              <w:spacing w:after="0"/>
              <w:jc w:val="left"/>
            </w:pPr>
            <w:r/>
            <w:r>
              <w:rPr>
                <w:rFonts w:ascii="Aptos" w:hAnsi="Aptos"/>
                <w:b/>
                <w:color w:val="06140F"/>
                <w:sz w:val="17"/>
              </w:rPr>
              <w:t>Child agreement card</w:t>
            </w:r>
          </w:p>
        </w:tc>
        <w:tc>
          <w:tcPr>
            <w:tcW w:type="dxa" w:w="3485"/>
            <w:vAlign w:val="center"/>
            <w:tcMar>
              <w:top w:w="90" w:type="dxa"/>
              <w:start w:w="110" w:type="dxa"/>
              <w:bottom w:w="90" w:type="dxa"/>
              <w:end w:w="110" w:type="dxa"/>
            </w:tcMar>
          </w:tcPr>
          <w:p>
            <w:pPr>
              <w:spacing w:after="0"/>
              <w:jc w:val="left"/>
            </w:pPr>
            <w:r/>
            <w:r>
              <w:rPr>
                <w:rFonts w:ascii="Aptos" w:hAnsi="Aptos"/>
                <w:b w:val="0"/>
                <w:color w:val="06140F"/>
                <w:sz w:val="17"/>
              </w:rPr>
              <w:t>Affirmative assent when capable</w:t>
            </w:r>
          </w:p>
        </w:tc>
        <w:tc>
          <w:tcPr>
            <w:tcW w:type="dxa" w:w="3485"/>
            <w:vAlign w:val="center"/>
            <w:tcMar>
              <w:top w:w="90" w:type="dxa"/>
              <w:start w:w="110" w:type="dxa"/>
              <w:bottom w:w="90" w:type="dxa"/>
              <w:end w:w="110" w:type="dxa"/>
            </w:tcMar>
          </w:tcPr>
          <w:p>
            <w:pPr>
              <w:spacing w:after="0"/>
              <w:jc w:val="left"/>
            </w:pPr>
            <w:r/>
            <w:r>
              <w:rPr>
                <w:rFonts w:ascii="Aptos" w:hAnsi="Aptos"/>
                <w:b w:val="0"/>
                <w:color w:val="5C6F65"/>
                <w:sz w:val="17"/>
              </w:rPr>
              <w:t>________________________________</w:t>
            </w:r>
          </w:p>
        </w:tc>
      </w:tr>
    </w:tbl>
    <w:p>
      <w:r>
        <w:br w:type="page"/>
      </w:r>
    </w:p>
    <w:p>
      <w:pPr>
        <w:spacing w:after="60"/>
      </w:pPr>
      <w:r>
        <w:rPr>
          <w:rFonts w:ascii="Aptos" w:hAnsi="Aptos"/>
          <w:b/>
          <w:color w:val="2FD27A"/>
          <w:sz w:val="16"/>
        </w:rPr>
        <w:t>EXPERIMENTAL DESIGN LESSON 18 | CASE FILE AND DECISION</w:t>
      </w:r>
    </w:p>
    <w:tbl>
      <w:tblPr>
        <w:tblW w:type="auto" w:w="0"/>
        <w:jc w:val="center"/>
        <w:tblLayout w:type="fixed"/>
        <w:tblLook w:firstColumn="1" w:firstRow="1" w:lastColumn="0" w:lastRow="0" w:noHBand="0" w:noVBand="1" w:val="04A0"/>
      </w:tblPr>
      <w:tblGrid>
        <w:gridCol w:w="10339"/>
      </w:tblGrid>
      <w:tr>
        <w:tc>
          <w:tcPr>
            <w:tcW w:type="dxa" w:w="10454"/>
            <w:shd w:fill="06140F"/>
            <w:vAlign w:val="center"/>
            <w:tcMar>
              <w:top w:w="90" w:type="dxa"/>
              <w:start w:w="110" w:type="dxa"/>
              <w:bottom w:w="90" w:type="dxa"/>
              <w:end w:w="110" w:type="dxa"/>
            </w:tcMar>
          </w:tcPr>
          <w:p>
            <w:pPr>
              <w:spacing w:after="0"/>
              <w:jc w:val="left"/>
            </w:pPr>
            <w:r/>
            <w:r>
              <w:rPr>
                <w:rFonts w:ascii="Aptos" w:hAnsi="Aptos"/>
                <w:b/>
                <w:color w:val="F7F3E8"/>
                <w:sz w:val="20"/>
              </w:rPr>
              <w:t>4. Use the case evidence</w:t>
            </w:r>
          </w:p>
        </w:tc>
      </w:tr>
    </w:tbl>
    <w:p>
      <w:pPr>
        <w:spacing w:after="0"/>
      </w:pPr>
    </w:p>
    <w:tbl>
      <w:tblPr>
        <w:tblStyle w:val="TableGrid"/>
        <w:tblW w:type="auto" w:w="0"/>
        <w:jc w:val="center"/>
        <w:tblLayout w:type="fixed"/>
        <w:tblLook w:firstColumn="1" w:firstRow="1" w:lastColumn="0" w:lastRow="0" w:noHBand="0" w:noVBand="1" w:val="04A0"/>
      </w:tblPr>
      <w:tblGrid>
        <w:gridCol w:w="3485"/>
        <w:gridCol w:w="3485"/>
        <w:gridCol w:w="3485"/>
      </w:tblGrid>
      <w:tr>
        <w:trPr>
          <w:tblHeader w:val="true"/>
        </w:trPr>
        <w:tc>
          <w:tcPr>
            <w:tcW w:type="dxa" w:w="1080"/>
            <w:shd w:fill="123426"/>
            <w:vAlign w:val="center"/>
            <w:tcMar>
              <w:top w:w="90" w:type="dxa"/>
              <w:start w:w="110" w:type="dxa"/>
              <w:bottom w:w="90" w:type="dxa"/>
              <w:end w:w="110" w:type="dxa"/>
            </w:tcMar>
          </w:tcPr>
          <w:p>
            <w:pPr>
              <w:spacing w:after="0"/>
              <w:jc w:val="left"/>
            </w:pPr>
            <w:r/>
            <w:r>
              <w:rPr>
                <w:rFonts w:ascii="Aptos" w:hAnsi="Aptos"/>
                <w:b/>
                <w:color w:val="F7F3E8"/>
                <w:sz w:val="17"/>
              </w:rPr>
              <w:t>ID</w:t>
            </w:r>
          </w:p>
        </w:tc>
        <w:tc>
          <w:tcPr>
            <w:tcW w:type="dxa" w:w="4536"/>
            <w:shd w:fill="123426"/>
            <w:vAlign w:val="center"/>
            <w:tcMar>
              <w:top w:w="90" w:type="dxa"/>
              <w:start w:w="110" w:type="dxa"/>
              <w:bottom w:w="90" w:type="dxa"/>
              <w:end w:w="110" w:type="dxa"/>
            </w:tcMar>
          </w:tcPr>
          <w:p>
            <w:pPr>
              <w:spacing w:after="0"/>
              <w:jc w:val="left"/>
            </w:pPr>
            <w:r/>
            <w:r>
              <w:rPr>
                <w:rFonts w:ascii="Aptos" w:hAnsi="Aptos"/>
                <w:b/>
                <w:color w:val="F7F3E8"/>
                <w:sz w:val="17"/>
              </w:rPr>
              <w:t>Finding supplied in the case</w:t>
            </w:r>
          </w:p>
        </w:tc>
        <w:tc>
          <w:tcPr>
            <w:tcW w:type="dxa" w:w="4536"/>
            <w:shd w:fill="123426"/>
            <w:vAlign w:val="center"/>
            <w:tcMar>
              <w:top w:w="90" w:type="dxa"/>
              <w:start w:w="110" w:type="dxa"/>
              <w:bottom w:w="90" w:type="dxa"/>
              <w:end w:w="110" w:type="dxa"/>
            </w:tcMar>
          </w:tcPr>
          <w:p>
            <w:pPr>
              <w:spacing w:after="0"/>
              <w:jc w:val="left"/>
            </w:pPr>
            <w:r/>
            <w:r>
              <w:rPr>
                <w:rFonts w:ascii="Aptos" w:hAnsi="Aptos"/>
                <w:b/>
                <w:color w:val="F7F3E8"/>
                <w:sz w:val="17"/>
              </w:rPr>
              <w:t>Why it matters</w:t>
            </w:r>
          </w:p>
        </w:tc>
      </w:tr>
      <w:tr>
        <w:tc>
          <w:tcPr>
            <w:tcW w:type="dxa" w:w="3485"/>
            <w:shd w:fill="E9F4ED"/>
            <w:vAlign w:val="center"/>
            <w:tcMar>
              <w:top w:w="90" w:type="dxa"/>
              <w:start w:w="110" w:type="dxa"/>
              <w:bottom w:w="90" w:type="dxa"/>
              <w:end w:w="110" w:type="dxa"/>
            </w:tcMar>
          </w:tcPr>
          <w:p>
            <w:pPr>
              <w:spacing w:after="0"/>
              <w:jc w:val="left"/>
            </w:pPr>
            <w:r/>
            <w:r>
              <w:rPr>
                <w:rFonts w:ascii="Aptos" w:hAnsi="Aptos"/>
                <w:b/>
                <w:color w:val="2FD27A"/>
                <w:sz w:val="17"/>
              </w:rPr>
              <w:t>EXP18-E1</w:t>
            </w:r>
          </w:p>
        </w:tc>
        <w:tc>
          <w:tcPr>
            <w:tcW w:type="dxa" w:w="3485"/>
            <w:shd w:fill="E9F4ED"/>
            <w:vAlign w:val="center"/>
            <w:tcMar>
              <w:top w:w="90" w:type="dxa"/>
              <w:start w:w="110" w:type="dxa"/>
              <w:bottom w:w="90" w:type="dxa"/>
              <w:end w:w="110" w:type="dxa"/>
            </w:tcMar>
          </w:tcPr>
          <w:p>
            <w:pPr>
              <w:spacing w:after="0"/>
              <w:jc w:val="left"/>
            </w:pPr>
            <w:r/>
            <w:r>
              <w:rPr>
                <w:rFonts w:ascii="Aptos" w:hAnsi="Aptos"/>
                <w:b w:val="0"/>
                <w:color w:val="06140F"/>
                <w:sz w:val="17"/>
              </w:rPr>
              <w:t>The study involves children, coded recordings, and no change from accepted care.</w:t>
            </w:r>
          </w:p>
        </w:tc>
        <w:tc>
          <w:tcPr>
            <w:tcW w:type="dxa" w:w="3485"/>
            <w:shd w:fill="E9F4ED"/>
            <w:vAlign w:val="center"/>
            <w:tcMar>
              <w:top w:w="90" w:type="dxa"/>
              <w:start w:w="110" w:type="dxa"/>
              <w:bottom w:w="90" w:type="dxa"/>
              <w:end w:w="110" w:type="dxa"/>
            </w:tcMar>
          </w:tcPr>
          <w:p>
            <w:pPr>
              <w:spacing w:after="0"/>
              <w:jc w:val="left"/>
            </w:pPr>
            <w:r/>
            <w:r>
              <w:rPr>
                <w:rFonts w:ascii="Aptos" w:hAnsi="Aptos"/>
                <w:b w:val="0"/>
                <w:color w:val="06140F"/>
                <w:sz w:val="17"/>
              </w:rPr>
              <w:t>The IRB must assess risk, privacy, and added protections.</w:t>
            </w:r>
          </w:p>
        </w:tc>
      </w:tr>
      <w:tr>
        <w:tc>
          <w:tcPr>
            <w:tcW w:type="dxa" w:w="3485"/>
            <w:shd w:fill="FFFFFF"/>
            <w:vAlign w:val="center"/>
            <w:tcMar>
              <w:top w:w="90" w:type="dxa"/>
              <w:start w:w="110" w:type="dxa"/>
              <w:bottom w:w="90" w:type="dxa"/>
              <w:end w:w="110" w:type="dxa"/>
            </w:tcMar>
          </w:tcPr>
          <w:p>
            <w:pPr>
              <w:spacing w:after="0"/>
              <w:jc w:val="left"/>
            </w:pPr>
            <w:r/>
            <w:r>
              <w:rPr>
                <w:rFonts w:ascii="Aptos" w:hAnsi="Aptos"/>
                <w:b/>
                <w:color w:val="2FD27A"/>
                <w:sz w:val="17"/>
              </w:rPr>
              <w:t>EXP18-E2</w:t>
            </w:r>
          </w:p>
        </w:tc>
        <w:tc>
          <w:tcPr>
            <w:tcW w:type="dxa" w:w="3485"/>
            <w:shd w:fill="FFFFFF"/>
            <w:vAlign w:val="center"/>
            <w:tcMar>
              <w:top w:w="90" w:type="dxa"/>
              <w:start w:w="110" w:type="dxa"/>
              <w:bottom w:w="90" w:type="dxa"/>
              <w:end w:w="110" w:type="dxa"/>
            </w:tcMar>
          </w:tcPr>
          <w:p>
            <w:pPr>
              <w:spacing w:after="0"/>
              <w:jc w:val="left"/>
            </w:pPr>
            <w:r/>
            <w:r>
              <w:rPr>
                <w:rFonts w:ascii="Aptos" w:hAnsi="Aptos"/>
                <w:b w:val="0"/>
                <w:color w:val="06140F"/>
                <w:sz w:val="17"/>
              </w:rPr>
              <w:t>The protocol gives caregivers plain-language information and time for questions.</w:t>
            </w:r>
          </w:p>
        </w:tc>
        <w:tc>
          <w:tcPr>
            <w:tcW w:type="dxa" w:w="3485"/>
            <w:shd w:fill="FFFFFF"/>
            <w:vAlign w:val="center"/>
            <w:tcMar>
              <w:top w:w="90" w:type="dxa"/>
              <w:start w:w="110" w:type="dxa"/>
              <w:bottom w:w="90" w:type="dxa"/>
              <w:end w:w="110" w:type="dxa"/>
            </w:tcMar>
          </w:tcPr>
          <w:p>
            <w:pPr>
              <w:spacing w:after="0"/>
              <w:jc w:val="left"/>
            </w:pPr>
            <w:r/>
            <w:r>
              <w:rPr>
                <w:rFonts w:ascii="Aptos" w:hAnsi="Aptos"/>
                <w:b w:val="0"/>
                <w:color w:val="06140F"/>
                <w:sz w:val="17"/>
              </w:rPr>
              <w:t>Permission should be informed and voluntary.</w:t>
            </w:r>
          </w:p>
        </w:tc>
      </w:tr>
      <w:tr>
        <w:tc>
          <w:tcPr>
            <w:tcW w:type="dxa" w:w="3485"/>
            <w:shd w:fill="E9F4ED"/>
            <w:vAlign w:val="center"/>
            <w:tcMar>
              <w:top w:w="90" w:type="dxa"/>
              <w:start w:w="110" w:type="dxa"/>
              <w:bottom w:w="90" w:type="dxa"/>
              <w:end w:w="110" w:type="dxa"/>
            </w:tcMar>
          </w:tcPr>
          <w:p>
            <w:pPr>
              <w:spacing w:after="0"/>
              <w:jc w:val="left"/>
            </w:pPr>
            <w:r/>
            <w:r>
              <w:rPr>
                <w:rFonts w:ascii="Aptos" w:hAnsi="Aptos"/>
                <w:b/>
                <w:color w:val="2FD27A"/>
                <w:sz w:val="17"/>
              </w:rPr>
              <w:t>EXP18-E3</w:t>
            </w:r>
          </w:p>
        </w:tc>
        <w:tc>
          <w:tcPr>
            <w:tcW w:type="dxa" w:w="3485"/>
            <w:shd w:fill="E9F4ED"/>
            <w:vAlign w:val="center"/>
            <w:tcMar>
              <w:top w:w="90" w:type="dxa"/>
              <w:start w:w="110" w:type="dxa"/>
              <w:bottom w:w="90" w:type="dxa"/>
              <w:end w:w="110" w:type="dxa"/>
            </w:tcMar>
          </w:tcPr>
          <w:p>
            <w:pPr>
              <w:spacing w:after="0"/>
              <w:jc w:val="left"/>
            </w:pPr>
            <w:r/>
            <w:r>
              <w:rPr>
                <w:rFonts w:ascii="Aptos" w:hAnsi="Aptos"/>
                <w:b w:val="0"/>
                <w:color w:val="06140F"/>
                <w:sz w:val="17"/>
              </w:rPr>
              <w:t>Children who can understand receive an age-appropriate explanation and are asked for affirmative agreement.</w:t>
            </w:r>
          </w:p>
        </w:tc>
        <w:tc>
          <w:tcPr>
            <w:tcW w:type="dxa" w:w="3485"/>
            <w:shd w:fill="E9F4ED"/>
            <w:vAlign w:val="center"/>
            <w:tcMar>
              <w:top w:w="90" w:type="dxa"/>
              <w:start w:w="110" w:type="dxa"/>
              <w:bottom w:w="90" w:type="dxa"/>
              <w:end w:w="110" w:type="dxa"/>
            </w:tcMar>
          </w:tcPr>
          <w:p>
            <w:pPr>
              <w:spacing w:after="0"/>
              <w:jc w:val="left"/>
            </w:pPr>
            <w:r/>
            <w:r>
              <w:rPr>
                <w:rFonts w:ascii="Aptos" w:hAnsi="Aptos"/>
                <w:b w:val="0"/>
                <w:color w:val="06140F"/>
                <w:sz w:val="17"/>
              </w:rPr>
              <w:t>Assent is more than silence or failure to object.</w:t>
            </w:r>
          </w:p>
        </w:tc>
      </w:tr>
    </w:tbl>
    <w:p>
      <w:pPr>
        <w:pStyle w:val="Heading1"/>
      </w:pPr>
      <w:r>
        <w:t>5. Make the clinical decision</w:t>
      </w:r>
    </w:p>
    <w:p>
      <w:r>
        <w:rPr>
          <w:b/>
        </w:rPr>
        <w:t xml:space="preserve">You are the pediatric IRB reviewer. </w:t>
      </w:r>
      <w:r>
        <w:t>A protocol says parental signature alone is enough and children should not be told because that is faster.</w:t>
      </w:r>
    </w:p>
    <w:p>
      <w:pPr>
        <w:ind w:left="288"/>
      </w:pPr>
      <w:r>
        <w:rPr>
          <w:b/>
        </w:rPr>
        <w:t xml:space="preserve">A. </w:t>
      </w:r>
      <w:r>
        <w:t>Require IRB-approved protections, permission, and capability-based assent.</w:t>
      </w:r>
    </w:p>
    <w:p>
      <w:pPr>
        <w:ind w:left="288"/>
      </w:pPr>
      <w:r>
        <w:rPr>
          <w:b/>
        </w:rPr>
        <w:t xml:space="preserve">B. </w:t>
      </w:r>
      <w:r>
        <w:t>Use only the parent signature for every capable child.</w:t>
      </w:r>
    </w:p>
    <w:p>
      <w:pPr>
        <w:ind w:left="288"/>
      </w:pPr>
      <w:r>
        <w:rPr>
          <w:b/>
        </w:rPr>
        <w:t xml:space="preserve">C. </w:t>
      </w:r>
      <w:r>
        <w:t>Treat a child's silence as affirmative assent.</w:t>
      </w:r>
    </w:p>
    <w:p>
      <w:pPr>
        <w:spacing w:after="40"/>
      </w:pPr>
      <w:r>
        <w:rPr>
          <w:b/>
          <w:color w:val="2FD27A"/>
        </w:rPr>
        <w:t xml:space="preserve">Decision. </w:t>
      </w:r>
      <w:r>
        <w:rPr>
          <w:sz w:val="20"/>
        </w:rPr>
        <w:t>Choose the ethics correction and explain the role of the IRB, permission, and assent.</w:t>
      </w:r>
    </w:p>
    <w:p>
      <w:pPr>
        <w:spacing w:after="20"/>
      </w:pPr>
      <w:r>
        <w:rPr>
          <w:color w:val="B8C9C0"/>
          <w:sz w:val="16"/>
        </w:rPr>
        <w:t>________________________________________________________________________________</w:t>
      </w:r>
    </w:p>
    <w:p>
      <w:pPr>
        <w:spacing w:after="20"/>
      </w:pPr>
      <w:r>
        <w:rPr>
          <w:color w:val="B8C9C0"/>
          <w:sz w:val="16"/>
        </w:rPr>
        <w:t>________________________________________________________________________________</w:t>
      </w:r>
    </w:p>
    <w:p>
      <w:r>
        <w:rPr>
          <w:b/>
          <w:color w:val="F5C542"/>
        </w:rPr>
        <w:t xml:space="preserve">Claim ceiling: </w:t>
      </w:r>
      <w:r>
        <w:t>You may apply the supplied educational ethics framework. You may not replace local IRB review or legal guidance.</w:t>
      </w:r>
    </w:p>
    <w:p>
      <w:pPr>
        <w:spacing w:after="40"/>
      </w:pPr>
      <w:r>
        <w:rPr>
          <w:b/>
          <w:color w:val="2FD27A"/>
        </w:rPr>
        <w:t xml:space="preserve">Claim. </w:t>
      </w:r>
      <w:r>
        <w:rPr>
          <w:sz w:val="20"/>
        </w:rPr>
        <w:t>State the choice you can defend.</w:t>
      </w:r>
    </w:p>
    <w:p>
      <w:pPr>
        <w:spacing w:after="20"/>
      </w:pPr>
      <w:r>
        <w:rPr>
          <w:color w:val="B8C9C0"/>
          <w:sz w:val="16"/>
        </w:rPr>
        <w:t>________________________________________________________________________________</w:t>
      </w:r>
    </w:p>
    <w:p>
      <w:pPr>
        <w:spacing w:after="40"/>
      </w:pPr>
      <w:r>
        <w:rPr>
          <w:b/>
          <w:color w:val="2FD27A"/>
        </w:rPr>
        <w:t xml:space="preserve">Evidence. </w:t>
      </w:r>
      <w:r>
        <w:rPr>
          <w:sz w:val="20"/>
        </w:rPr>
        <w:t>Use these labeled IDs: EXP18-E1 + EXP18-E2.</w:t>
      </w:r>
    </w:p>
    <w:p>
      <w:pPr>
        <w:spacing w:after="20"/>
      </w:pPr>
      <w:r>
        <w:rPr>
          <w:color w:val="B8C9C0"/>
          <w:sz w:val="16"/>
        </w:rPr>
        <w:t>________________________________________________________________________________</w:t>
      </w:r>
    </w:p>
    <w:p>
      <w:pPr>
        <w:spacing w:after="40"/>
      </w:pPr>
      <w:r>
        <w:rPr>
          <w:b/>
          <w:color w:val="2FD27A"/>
        </w:rPr>
        <w:t xml:space="preserve">Reasoning. </w:t>
      </w:r>
      <w:r>
        <w:rPr>
          <w:sz w:val="20"/>
        </w:rPr>
        <w:t>Explain why the evidence supports the claim and stays inside the claim ceiling.</w:t>
      </w:r>
    </w:p>
    <w:p>
      <w:pPr>
        <w:spacing w:after="20"/>
      </w:pPr>
      <w:r>
        <w:rPr>
          <w:color w:val="B8C9C0"/>
          <w:sz w:val="16"/>
        </w:rPr>
        <w:t>________________________________________________________________________________</w:t>
      </w:r>
    </w:p>
    <w:p>
      <w:pPr>
        <w:spacing w:after="20"/>
      </w:pPr>
      <w:r>
        <w:rPr>
          <w:color w:val="B8C9C0"/>
          <w:sz w:val="16"/>
        </w:rPr>
        <w:t>________________________________________________________________________________</w:t>
      </w:r>
    </w:p>
    <w:p>
      <w:r>
        <w:br w:type="page"/>
      </w:r>
    </w:p>
    <w:p>
      <w:pPr>
        <w:spacing w:after="60"/>
      </w:pPr>
      <w:r>
        <w:rPr>
          <w:rFonts w:ascii="Aptos" w:hAnsi="Aptos"/>
          <w:b/>
          <w:color w:val="2FD27A"/>
          <w:sz w:val="16"/>
        </w:rPr>
        <w:t>EXPERIMENTAL DESIGN LESSON 18 | REDUCE, REFLECT, AND PREPARE</w:t>
      </w:r>
    </w:p>
    <w:tbl>
      <w:tblPr>
        <w:tblW w:type="auto" w:w="0"/>
        <w:jc w:val="center"/>
        <w:tblLayout w:type="fixed"/>
        <w:tblLook w:firstColumn="1" w:firstRow="1" w:lastColumn="0" w:lastRow="0" w:noHBand="0" w:noVBand="1" w:val="04A0"/>
      </w:tblPr>
      <w:tblGrid>
        <w:gridCol w:w="10339"/>
      </w:tblGrid>
      <w:tr>
        <w:tc>
          <w:tcPr>
            <w:tcW w:type="dxa" w:w="10454"/>
            <w:shd w:fill="2FD27A"/>
            <w:vAlign w:val="center"/>
            <w:tcMar>
              <w:top w:w="90" w:type="dxa"/>
              <w:start w:w="110" w:type="dxa"/>
              <w:bottom w:w="90" w:type="dxa"/>
              <w:end w:w="110" w:type="dxa"/>
            </w:tcMar>
          </w:tcPr>
          <w:p>
            <w:pPr>
              <w:spacing w:after="0"/>
              <w:jc w:val="left"/>
            </w:pPr>
            <w:r/>
            <w:r>
              <w:rPr>
                <w:rFonts w:ascii="Aptos" w:hAnsi="Aptos"/>
                <w:b/>
                <w:color w:val="F7F3E8"/>
                <w:sz w:val="20"/>
              </w:rPr>
              <w:t>6. Reduce the lesson to one lasting idea</w:t>
            </w:r>
          </w:p>
        </w:tc>
      </w:tr>
    </w:tbl>
    <w:p>
      <w:pPr>
        <w:spacing w:after="0"/>
      </w:pPr>
    </w:p>
    <w:p>
      <w:pPr>
        <w:spacing w:after="40"/>
      </w:pPr>
      <w:r>
        <w:rPr>
          <w:b/>
          <w:color w:val="2FD27A"/>
        </w:rPr>
        <w:t xml:space="preserve">Take-home. </w:t>
      </w:r>
      <w:r>
        <w:rPr>
          <w:sz w:val="20"/>
        </w:rPr>
        <w:t>Child research requires favorable risk and benefit, IRB review, parental permission, and affirmative assent when the child is capable.</w:t>
      </w:r>
    </w:p>
    <w:p>
      <w:pPr>
        <w:spacing w:after="20"/>
      </w:pPr>
      <w:r>
        <w:rPr>
          <w:color w:val="B8C9C0"/>
          <w:sz w:val="16"/>
        </w:rPr>
        <w:t>________________________________________________________________________________</w:t>
      </w:r>
    </w:p>
    <w:p>
      <w:pPr>
        <w:spacing w:after="20"/>
      </w:pPr>
      <w:r>
        <w:rPr>
          <w:color w:val="B8C9C0"/>
          <w:sz w:val="16"/>
        </w:rPr>
        <w:t>________________________________________________________________________________</w:t>
      </w:r>
    </w:p>
    <w:p>
      <w:pPr>
        <w:spacing w:after="40"/>
      </w:pPr>
      <w:r>
        <w:rPr>
          <w:b/>
          <w:color w:val="2FD27A"/>
        </w:rPr>
        <w:t xml:space="preserve">1. </w:t>
      </w:r>
      <w:r>
        <w:rPr>
          <w:sz w:val="20"/>
        </w:rPr>
        <w:t>What extra review protects children?</w:t>
      </w:r>
    </w:p>
    <w:p>
      <w:pPr>
        <w:spacing w:after="20"/>
      </w:pPr>
      <w:r>
        <w:rPr>
          <w:color w:val="B8C9C0"/>
          <w:sz w:val="16"/>
        </w:rPr>
        <w:t>________________________________________________________________________________</w:t>
      </w:r>
    </w:p>
    <w:p>
      <w:pPr>
        <w:spacing w:after="40"/>
      </w:pPr>
      <w:r>
        <w:rPr>
          <w:b/>
          <w:color w:val="2FD27A"/>
        </w:rPr>
        <w:t xml:space="preserve">2. </w:t>
      </w:r>
      <w:r>
        <w:rPr>
          <w:sz w:val="20"/>
        </w:rPr>
        <w:t>Why is silence not assent?</w:t>
      </w:r>
    </w:p>
    <w:p>
      <w:pPr>
        <w:spacing w:after="20"/>
      </w:pPr>
      <w:r>
        <w:rPr>
          <w:color w:val="B8C9C0"/>
          <w:sz w:val="16"/>
        </w:rPr>
        <w:t>________________________________________________________________________________</w:t>
      </w:r>
    </w:p>
    <w:p>
      <w:pPr>
        <w:pStyle w:val="Heading1"/>
      </w:pPr>
      <w:r>
        <w:t>Glossary</w:t>
      </w:r>
    </w:p>
    <w:tbl>
      <w:tblPr>
        <w:tblStyle w:val="TableGrid"/>
        <w:tblW w:type="auto" w:w="0"/>
        <w:jc w:val="center"/>
        <w:tblLayout w:type="fixed"/>
        <w:tblLook w:firstColumn="1" w:firstRow="1" w:lastColumn="0" w:lastRow="0" w:noHBand="0" w:noVBand="1" w:val="04A0"/>
      </w:tblPr>
      <w:tblGrid>
        <w:gridCol w:w="5227"/>
        <w:gridCol w:w="5227"/>
      </w:tblGrid>
      <w:tr>
        <w:trPr>
          <w:tblHeader w:val="true"/>
        </w:trPr>
        <w:tc>
          <w:tcPr>
            <w:tcW w:type="dxa" w:w="2880"/>
            <w:shd w:fill="123426"/>
            <w:vAlign w:val="center"/>
            <w:tcMar>
              <w:top w:w="90" w:type="dxa"/>
              <w:start w:w="110" w:type="dxa"/>
              <w:bottom w:w="90" w:type="dxa"/>
              <w:end w:w="110" w:type="dxa"/>
            </w:tcMar>
          </w:tcPr>
          <w:p>
            <w:pPr>
              <w:spacing w:after="0"/>
              <w:jc w:val="left"/>
            </w:pPr>
            <w:r/>
            <w:r>
              <w:rPr>
                <w:rFonts w:ascii="Aptos" w:hAnsi="Aptos"/>
                <w:b/>
                <w:color w:val="F7F3E8"/>
                <w:sz w:val="17"/>
              </w:rPr>
              <w:t>Term</w:t>
            </w:r>
          </w:p>
        </w:tc>
        <w:tc>
          <w:tcPr>
            <w:tcW w:type="dxa" w:w="7272"/>
            <w:shd w:fill="123426"/>
            <w:vAlign w:val="center"/>
            <w:tcMar>
              <w:top w:w="90" w:type="dxa"/>
              <w:start w:w="110" w:type="dxa"/>
              <w:bottom w:w="90" w:type="dxa"/>
              <w:end w:w="110" w:type="dxa"/>
            </w:tcMar>
          </w:tcPr>
          <w:p>
            <w:pPr>
              <w:spacing w:after="0"/>
              <w:jc w:val="left"/>
            </w:pPr>
            <w:r/>
            <w:r>
              <w:rPr>
                <w:rFonts w:ascii="Aptos" w:hAnsi="Aptos"/>
                <w:b/>
                <w:color w:val="F7F3E8"/>
                <w:sz w:val="17"/>
              </w:rPr>
              <w:t>Plain-English definition</w:t>
            </w:r>
          </w:p>
        </w:tc>
      </w:tr>
      <w:tr>
        <w:tc>
          <w:tcPr>
            <w:tcW w:type="dxa" w:w="5227"/>
            <w:shd w:fill="E9F4ED"/>
            <w:vAlign w:val="center"/>
            <w:tcMar>
              <w:top w:w="90" w:type="dxa"/>
              <w:start w:w="110" w:type="dxa"/>
              <w:bottom w:w="90" w:type="dxa"/>
              <w:end w:w="110" w:type="dxa"/>
            </w:tcMar>
          </w:tcPr>
          <w:p>
            <w:pPr>
              <w:spacing w:after="0"/>
              <w:jc w:val="left"/>
            </w:pPr>
            <w:r/>
            <w:r>
              <w:rPr>
                <w:rFonts w:ascii="Aptos" w:hAnsi="Aptos"/>
                <w:b/>
                <w:color w:val="06140F"/>
                <w:sz w:val="17"/>
              </w:rPr>
              <w:t>informed consent</w:t>
            </w:r>
          </w:p>
        </w:tc>
        <w:tc>
          <w:tcPr>
            <w:tcW w:type="dxa" w:w="5227"/>
            <w:vAlign w:val="center"/>
            <w:tcMar>
              <w:top w:w="90" w:type="dxa"/>
              <w:start w:w="110" w:type="dxa"/>
              <w:bottom w:w="90" w:type="dxa"/>
              <w:end w:w="110" w:type="dxa"/>
            </w:tcMar>
          </w:tcPr>
          <w:p>
            <w:pPr>
              <w:spacing w:after="0"/>
              <w:jc w:val="left"/>
            </w:pPr>
            <w:r/>
            <w:r>
              <w:rPr>
                <w:rFonts w:ascii="Aptos" w:hAnsi="Aptos"/>
                <w:b w:val="0"/>
                <w:color w:val="06140F"/>
                <w:sz w:val="17"/>
              </w:rPr>
              <w:t>Agreeing to a treatment or study only after truly understanding its purpose, risks, benefits, and alternatives; the understanding, not the signature, is the ethics.</w:t>
            </w:r>
          </w:p>
        </w:tc>
      </w:tr>
      <w:tr>
        <w:tc>
          <w:tcPr>
            <w:tcW w:type="dxa" w:w="5227"/>
            <w:shd w:fill="E9F4ED"/>
            <w:vAlign w:val="center"/>
            <w:tcMar>
              <w:top w:w="90" w:type="dxa"/>
              <w:start w:w="110" w:type="dxa"/>
              <w:bottom w:w="90" w:type="dxa"/>
              <w:end w:w="110" w:type="dxa"/>
            </w:tcMar>
          </w:tcPr>
          <w:p>
            <w:pPr>
              <w:spacing w:after="0"/>
              <w:jc w:val="left"/>
            </w:pPr>
            <w:r/>
            <w:r>
              <w:rPr>
                <w:rFonts w:ascii="Aptos" w:hAnsi="Aptos"/>
                <w:b/>
                <w:color w:val="06140F"/>
                <w:sz w:val="17"/>
              </w:rPr>
              <w:t>assent</w:t>
            </w:r>
          </w:p>
        </w:tc>
        <w:tc>
          <w:tcPr>
            <w:tcW w:type="dxa" w:w="5227"/>
            <w:vAlign w:val="center"/>
            <w:tcMar>
              <w:top w:w="90" w:type="dxa"/>
              <w:start w:w="110" w:type="dxa"/>
              <w:bottom w:w="90" w:type="dxa"/>
              <w:end w:w="110" w:type="dxa"/>
            </w:tcMar>
          </w:tcPr>
          <w:p>
            <w:pPr>
              <w:spacing w:after="0"/>
              <w:jc w:val="left"/>
            </w:pPr>
            <w:r/>
            <w:r>
              <w:rPr>
                <w:rFonts w:ascii="Aptos" w:hAnsi="Aptos"/>
                <w:b w:val="0"/>
                <w:color w:val="06140F"/>
                <w:sz w:val="17"/>
              </w:rPr>
              <w:t>A child or teen's own agreement to take part in a study, given alongside a parent's legal permission, after the study is explained at their level.</w:t>
            </w:r>
          </w:p>
        </w:tc>
      </w:tr>
      <w:tr>
        <w:tc>
          <w:tcPr>
            <w:tcW w:type="dxa" w:w="5227"/>
            <w:shd w:fill="E9F4ED"/>
            <w:vAlign w:val="center"/>
            <w:tcMar>
              <w:top w:w="90" w:type="dxa"/>
              <w:start w:w="110" w:type="dxa"/>
              <w:bottom w:w="90" w:type="dxa"/>
              <w:end w:w="110" w:type="dxa"/>
            </w:tcMar>
          </w:tcPr>
          <w:p>
            <w:pPr>
              <w:spacing w:after="0"/>
              <w:jc w:val="left"/>
            </w:pPr>
            <w:r/>
            <w:r>
              <w:rPr>
                <w:rFonts w:ascii="Aptos" w:hAnsi="Aptos"/>
                <w:b/>
                <w:color w:val="06140F"/>
                <w:sz w:val="17"/>
              </w:rPr>
              <w:t>equipoise</w:t>
            </w:r>
          </w:p>
        </w:tc>
        <w:tc>
          <w:tcPr>
            <w:tcW w:type="dxa" w:w="5227"/>
            <w:vAlign w:val="center"/>
            <w:tcMar>
              <w:top w:w="90" w:type="dxa"/>
              <w:start w:w="110" w:type="dxa"/>
              <w:bottom w:w="90" w:type="dxa"/>
              <w:end w:w="110" w:type="dxa"/>
            </w:tcMar>
          </w:tcPr>
          <w:p>
            <w:pPr>
              <w:spacing w:after="0"/>
              <w:jc w:val="left"/>
            </w:pPr>
            <w:r/>
            <w:r>
              <w:rPr>
                <w:rFonts w:ascii="Aptos" w:hAnsi="Aptos"/>
                <w:b w:val="0"/>
                <w:color w:val="06140F"/>
                <w:sz w:val="17"/>
              </w:rPr>
              <w:t>Genuine uncertainty in the expert community about which treatment is better, which is what makes randomly assigning patients in a trial ethical.</w:t>
            </w:r>
          </w:p>
        </w:tc>
      </w:tr>
      <w:tr>
        <w:tc>
          <w:tcPr>
            <w:tcW w:type="dxa" w:w="5227"/>
            <w:shd w:fill="E9F4ED"/>
            <w:vAlign w:val="center"/>
            <w:tcMar>
              <w:top w:w="90" w:type="dxa"/>
              <w:start w:w="110" w:type="dxa"/>
              <w:bottom w:w="90" w:type="dxa"/>
              <w:end w:w="110" w:type="dxa"/>
            </w:tcMar>
          </w:tcPr>
          <w:p>
            <w:pPr>
              <w:spacing w:after="0"/>
              <w:jc w:val="left"/>
            </w:pPr>
            <w:r/>
            <w:r>
              <w:rPr>
                <w:rFonts w:ascii="Aptos" w:hAnsi="Aptos"/>
                <w:b/>
                <w:color w:val="06140F"/>
                <w:sz w:val="17"/>
              </w:rPr>
              <w:t>Institutional Review Board (IRB)</w:t>
            </w:r>
          </w:p>
        </w:tc>
        <w:tc>
          <w:tcPr>
            <w:tcW w:type="dxa" w:w="5227"/>
            <w:vAlign w:val="center"/>
            <w:tcMar>
              <w:top w:w="90" w:type="dxa"/>
              <w:start w:w="110" w:type="dxa"/>
              <w:bottom w:w="90" w:type="dxa"/>
              <w:end w:w="110" w:type="dxa"/>
            </w:tcMar>
          </w:tcPr>
          <w:p>
            <w:pPr>
              <w:spacing w:after="0"/>
              <w:jc w:val="left"/>
            </w:pPr>
            <w:r/>
            <w:r>
              <w:rPr>
                <w:rFonts w:ascii="Aptos" w:hAnsi="Aptos"/>
                <w:b w:val="0"/>
                <w:color w:val="06140F"/>
                <w:sz w:val="17"/>
              </w:rPr>
              <w:t>A committee that reviews research involving people to make sure it is ethical and that participants are protected from harm.</w:t>
            </w:r>
          </w:p>
        </w:tc>
      </w:tr>
      <w:tr>
        <w:tc>
          <w:tcPr>
            <w:tcW w:type="dxa" w:w="5227"/>
            <w:shd w:fill="E9F4ED"/>
            <w:vAlign w:val="center"/>
            <w:tcMar>
              <w:top w:w="90" w:type="dxa"/>
              <w:start w:w="110" w:type="dxa"/>
              <w:bottom w:w="90" w:type="dxa"/>
              <w:end w:w="110" w:type="dxa"/>
            </w:tcMar>
          </w:tcPr>
          <w:p>
            <w:pPr>
              <w:spacing w:after="0"/>
              <w:jc w:val="left"/>
            </w:pPr>
            <w:r/>
            <w:r>
              <w:rPr>
                <w:rFonts w:ascii="Aptos" w:hAnsi="Aptos"/>
                <w:b/>
                <w:color w:val="06140F"/>
                <w:sz w:val="17"/>
              </w:rPr>
              <w:t>incidental findings</w:t>
            </w:r>
          </w:p>
        </w:tc>
        <w:tc>
          <w:tcPr>
            <w:tcW w:type="dxa" w:w="5227"/>
            <w:vAlign w:val="center"/>
            <w:tcMar>
              <w:top w:w="90" w:type="dxa"/>
              <w:start w:w="110" w:type="dxa"/>
              <w:bottom w:w="90" w:type="dxa"/>
              <w:end w:w="110" w:type="dxa"/>
            </w:tcMar>
          </w:tcPr>
          <w:p>
            <w:pPr>
              <w:spacing w:after="0"/>
              <w:jc w:val="left"/>
            </w:pPr>
            <w:r/>
            <w:r>
              <w:rPr>
                <w:rFonts w:ascii="Aptos" w:hAnsi="Aptos"/>
                <w:b w:val="0"/>
                <w:color w:val="06140F"/>
                <w:sz w:val="17"/>
              </w:rPr>
              <w:t>Unexpected health results discovered by a test that was looking for something else, raising questions about whether to report them.</w:t>
            </w:r>
          </w:p>
        </w:tc>
      </w:tr>
    </w:tbl>
    <w:p>
      <w:pPr>
        <w:pStyle w:val="Heading1"/>
      </w:pPr>
      <w:r>
        <w:t>Next lesson unlock</w:t>
      </w:r>
    </w:p>
    <w:p>
      <w:pPr>
        <w:spacing w:after="100"/>
      </w:pPr>
      <w:r>
        <w:t>We answered today's question: an ethical study needs IRB approval, real consent and assent, and genuine equipoise. But clearing ethics only means a study was allowed to run, not that its result is true. Suppose a study cleared every ethics check and was run perfectly. How does the rest of the world confirm it is trustworthy and not just one team's claim? We chase that next time.</w:t>
      </w:r>
    </w:p>
    <w:p>
      <w:r>
        <w:rPr>
          <w:i/>
          <w:color w:val="5C6F65"/>
        </w:rPr>
        <w:t>The journal links on the lesson page are optional. Everything required for this guided-notes set is already supplied here and in the case file.</w:t>
      </w:r>
    </w:p>
    <w:sectPr w:rsidR="00FC693F" w:rsidRPr="0006063C" w:rsidSect="00034616">
      <w:headerReference w:type="default" r:id="rId9"/>
      <w:footerReference w:type="default" r:id="rId10"/>
      <w:pgSz w:w="12240" w:h="15840"/>
      <w:pgMar w:top="835" w:right="893" w:bottom="792" w:left="893" w:header="360" w:footer="36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right"/>
    </w:pPr>
    <w:r>
      <w:rPr>
        <w:rFonts w:ascii="Aptos" w:hAnsi="Aptos"/>
        <w:color w:val="5C6F65"/>
        <w:sz w:val="16"/>
      </w:rPr>
      <w:t xml:space="preserve">Page </w:t>
    </w:r>
    <w:fldSimple w:instr="PAGE"/>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spacing w:after="0"/>
      <w:jc w:val="left"/>
    </w:pPr>
    <w:r>
      <w:rPr>
        <w:rFonts w:ascii="Aptos" w:hAnsi="Aptos"/>
        <w:b/>
        <w:color w:val="2FD27A"/>
        <w:sz w:val="16"/>
      </w:rPr>
      <w:t>JOHN HAY BIOMEDICAL  |  THE BABY MATEO CASE</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00" w:line="259" w:lineRule="auto"/>
    </w:pPr>
    <w:rPr>
      <w:rFonts w:ascii="Aptos" w:hAnsi="Aptos"/>
      <w:color w:val="06140F"/>
      <w:sz w:val="20"/>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120" w:after="100"/>
      <w:outlineLvl w:val="0"/>
    </w:pPr>
    <w:rPr>
      <w:rFonts w:asciiTheme="majorHAnsi" w:eastAsiaTheme="majorEastAsia" w:hAnsiTheme="majorHAnsi" w:cstheme="majorBidi" w:ascii="Aptos Display" w:hAnsi="Aptos Display"/>
      <w:b/>
      <w:bCs/>
      <w:color w:val="06140F"/>
      <w:sz w:val="38"/>
      <w:szCs w:val="28"/>
    </w:rPr>
  </w:style>
  <w:style w:type="paragraph" w:styleId="Heading2">
    <w:name w:val="heading 2"/>
    <w:basedOn w:val="Normal"/>
    <w:next w:val="Normal"/>
    <w:link w:val="Heading2Char"/>
    <w:uiPriority w:val="9"/>
    <w:unhideWhenUsed/>
    <w:qFormat/>
    <w:rsid w:val="00FC693F"/>
    <w:pPr>
      <w:keepNext/>
      <w:keepLines/>
      <w:spacing w:before="120" w:after="100"/>
      <w:outlineLvl w:val="1"/>
    </w:pPr>
    <w:rPr>
      <w:rFonts w:asciiTheme="majorHAnsi" w:eastAsiaTheme="majorEastAsia" w:hAnsiTheme="majorHAnsi" w:cstheme="majorBidi" w:ascii="Aptos Display" w:hAnsi="Aptos Display"/>
      <w:b/>
      <w:bCs/>
      <w:color w:val="123426"/>
      <w:sz w:val="26"/>
      <w:szCs w:val="26"/>
    </w:rPr>
  </w:style>
  <w:style w:type="paragraph" w:styleId="Heading3">
    <w:name w:val="heading 3"/>
    <w:basedOn w:val="Normal"/>
    <w:next w:val="Normal"/>
    <w:link w:val="Heading3Char"/>
    <w:uiPriority w:val="9"/>
    <w:unhideWhenUsed/>
    <w:qFormat/>
    <w:rsid w:val="00FC693F"/>
    <w:pPr>
      <w:keepNext/>
      <w:keepLines/>
      <w:spacing w:before="120" w:after="100"/>
      <w:outlineLvl w:val="2"/>
    </w:pPr>
    <w:rPr>
      <w:rFonts w:asciiTheme="majorHAnsi" w:eastAsiaTheme="majorEastAsia" w:hAnsiTheme="majorHAnsi" w:cstheme="majorBidi" w:ascii="Aptos Display" w:hAnsi="Aptos Display"/>
      <w:b/>
      <w:bCs/>
      <w:color w:val="2FD27A"/>
      <w:sz w:val="20"/>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100" w:line="240" w:lineRule="auto" w:before="120"/>
      <w:contextualSpacing/>
    </w:pPr>
    <w:rPr>
      <w:rFonts w:asciiTheme="majorHAnsi" w:eastAsiaTheme="majorEastAsia" w:hAnsiTheme="majorHAnsi" w:cstheme="majorBidi" w:ascii="Aptos Display" w:hAnsi="Aptos Display"/>
      <w:b/>
      <w:color w:val="06140F"/>
      <w:spacing w:val="5"/>
      <w:kern w:val="28"/>
      <w:sz w:val="56"/>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image" Target="media/image1.jpg"/><Relationship Id="rId12"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Experimental Design Lesson 18: Guided Notes</dc:title>
  <dc:subject>Socratic guided notes aligned to the lesson deck</dc:subject>
  <dc:creator>John Hay Biomedical</dc:creator>
  <cp:keywords/>
  <dc:description>generated by python-docx</dc:description>
  <cp:lastModifiedBy/>
  <cp:revision>1</cp:revision>
  <dcterms:created xsi:type="dcterms:W3CDTF">2013-12-23T23:15:00Z</dcterms:created>
  <dcterms:modified xsi:type="dcterms:W3CDTF">2013-12-23T23:15:00Z</dcterms:modified>
  <cp:category/>
</cp:coreProperties>
</file>