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DOMAIN | LESSON 3 OF 20 | PRINCIPAL INVESTIGATOR (PI)</w:t>
      </w:r>
    </w:p>
    <w:p>
      <w:pPr>
        <w:pStyle w:val="Title"/>
        <w:spacing w:after="80"/>
      </w:pPr>
      <w:r>
        <w:t>Why We Trust Some Studies More Than Others</w:t>
      </w:r>
    </w:p>
    <w:p>
      <w:pPr>
        <w:spacing w:after="200"/>
      </w:pPr>
      <w:r>
        <w:rPr>
          <w:rFonts w:ascii="Aptos" w:hAnsi="Aptos"/>
          <w:color w:val="5C6F65"/>
          <w:sz w:val="22"/>
        </w:rPr>
        <w:t>When two studies disagree, what about a study's design tells us which result to trust more?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c>
          <w:tcPr>
            <w:tcW w:type="dxa" w:w="5054"/>
            <w:shd w:fill="E9F4ED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2FD27A"/>
                <w:sz w:val="16"/>
              </w:rPr>
              <w:t>CARRY FORWARD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A falsifiable hypothesis links a defined change to a defined outcome and states what would count against it.</w:t>
            </w:r>
          </w:p>
        </w:tc>
        <w:tc>
          <w:tcPr>
            <w:tcW w:type="dxa" w:w="5054"/>
            <w:shd w:fill="FFF7D5"/>
            <w:tcMar>
              <w:top w:w="130" w:type="dxa"/>
              <w:start w:w="145" w:type="dxa"/>
              <w:bottom w:w="130" w:type="dxa"/>
              <w:end w:w="145" w:type="dxa"/>
            </w:tcMar>
          </w:tcPr>
          <w:p>
            <w:pPr>
              <w:spacing w:after="60"/>
            </w:pPr>
            <w:r/>
            <w:r>
              <w:rPr>
                <w:rFonts w:ascii="Aptos" w:hAnsi="Aptos"/>
                <w:b/>
                <w:color w:val="8A6B00"/>
                <w:sz w:val="16"/>
              </w:rPr>
              <w:t>10-YEAR TAKEAWAY</w:t>
            </w:r>
          </w:p>
          <w:p>
            <w:pPr>
              <w:spacing w:after="0"/>
            </w:pPr>
            <w:r>
              <w:rPr>
                <w:rFonts w:ascii="Aptos" w:hAnsi="Aptos"/>
                <w:b/>
                <w:color w:val="06140F"/>
                <w:sz w:val="20"/>
              </w:rPr>
              <w:t>The strongest design is the one that fits the question and controls its main threats.</w:t>
            </w:r>
          </w:p>
        </w:tc>
      </w:tr>
    </w:tbl>
    <w:p/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613"/>
        <w:gridCol w:w="2613"/>
        <w:gridCol w:w="2613"/>
        <w:gridCol w:w="2613"/>
      </w:tblGrid>
      <w:tr>
        <w:tc>
          <w:tcPr>
            <w:tcW w:type="dxa" w:w="2613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differentiate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sculpts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Cells move</w:t>
            </w:r>
          </w:p>
        </w:tc>
        <w:tc>
          <w:tcPr>
            <w:tcW w:type="dxa" w:w="2613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center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Development can go wrong</w:t>
            </w:r>
          </w:p>
        </w:tc>
      </w:tr>
    </w:tbl>
    <w:p>
      <w:pPr>
        <w:pStyle w:val="Heading1"/>
      </w:pPr>
      <w:r>
        <w:t>1. Observe the analogy before naming the biology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108960" cy="310896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3108960" cy="310896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Illustration: A tool wall has no single best tool for every job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Which tool measures length?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tool reveals a hidden structure?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Why would ranking every tool from weak to strong be misleading?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3 | RULES AND BIOLOGY MAPPING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2. Turn observations into rules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Rule 1: Name the question type first.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Rule 2: Choose the design that can answer it ethically.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3. </w:t>
      </w:r>
      <w:r>
        <w:rPr>
          <w:sz w:val="20"/>
        </w:rPr>
        <w:t>Rule 3: Identify the main bias or alternative explanation the design must control. Explain it in your own words.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Where the analogy stops: </w:t>
      </w:r>
      <w:r>
        <w:t>Study designs involve people, biology, time, and uncertainty, not just tools with one fixed use.</w:t>
      </w:r>
    </w:p>
    <w:p>
      <w:pPr>
        <w:pStyle w:val="Heading1"/>
      </w:pPr>
      <w:r>
        <w:t>3. Map the rules onto the biomedical example</w:t>
      </w:r>
    </w:p>
    <w:p>
      <w:pPr>
        <w:spacing w:after="40"/>
        <w:jc w:val="center"/>
      </w:pPr>
      <w:r>
        <w:drawing>
          <wp:inline xmlns:a="http://schemas.openxmlformats.org/drawingml/2006/main" xmlns:pic="http://schemas.openxmlformats.org/drawingml/2006/picture">
            <wp:extent cx="3063240" cy="3063240"/>
            <wp:docPr id="2" name="Picture 2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63240" cy="306324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spacing w:after="100"/>
        <w:jc w:val="center"/>
      </w:pPr>
      <w:r>
        <w:rPr>
          <w:rFonts w:ascii="Aptos" w:hAnsi="Aptos"/>
          <w:i/>
          <w:color w:val="5C6F65"/>
          <w:sz w:val="15"/>
        </w:rPr>
        <w:t>Biomedical teaching illustration: Match four cleft questions to four study designs</w:t>
      </w:r>
    </w:p>
    <w:tbl>
      <w:tblPr>
        <w:tblStyle w:val="TableGrid"/>
        <w:tblW w:type="auto" w:w="0"/>
        <w:jc w:val="center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Analogy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Biology step</w:t>
            </w:r>
          </w:p>
        </w:tc>
        <w:tc>
          <w:tcPr>
            <w:tcW w:type="dxa" w:w="3485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How the relationship stays the same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Ruler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Measurement or prognosis design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Randomized lane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Assignable treatment comparison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  <w:tr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Microscope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Mechanism experiment</w:t>
            </w:r>
          </w:p>
        </w:tc>
        <w:tc>
          <w:tcPr>
            <w:tcW w:type="dxa" w:w="3485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5C6F65"/>
                <w:sz w:val="17"/>
              </w:rPr>
              <w:t>________________________________</w:t>
            </w:r>
          </w:p>
        </w:tc>
      </w:tr>
    </w:tbl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3 | CASE FILE AND DECISION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06140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4. Use the case evidence</w:t>
            </w:r>
          </w:p>
        </w:tc>
      </w:tr>
    </w:tbl>
    <w:p>
      <w:pPr>
        <w:spacing w:after="0"/>
      </w:pP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485"/>
        <w:gridCol w:w="3485"/>
        <w:gridCol w:w="3485"/>
      </w:tblGrid>
      <w:tr>
        <w:trPr>
          <w:tblHeader w:val="true"/>
        </w:trPr>
        <w:tc>
          <w:tcPr>
            <w:tcW w:type="dxa" w:w="10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ID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Finding supplied in the case</w:t>
            </w:r>
          </w:p>
        </w:tc>
        <w:tc>
          <w:tcPr>
            <w:tcW w:type="dxa" w:w="4536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Why it matters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EXP03-E1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Repair timing is an assignable clinical choice when both options are acceptable.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randomized trial can compare the treatment options under equipoise.</w:t>
            </w:r>
          </w:p>
        </w:tc>
      </w:tr>
      <w:tr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EXP03-E2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suspected harmful pregnancy exposure cannot be assigned.</w:t>
            </w:r>
          </w:p>
        </w:tc>
        <w:tc>
          <w:tcPr>
            <w:tcW w:type="dxa" w:w="3485"/>
            <w:shd w:fill="FFFFFF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An observational design is required for that cause question.</w:t>
            </w:r>
          </w:p>
        </w:tc>
      </w:tr>
      <w:tr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2FD27A"/>
                <w:sz w:val="17"/>
              </w:rPr>
              <w:t>EXP03-E3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gene mechanism requires perturbation and molecular or tissue outcomes.</w:t>
            </w:r>
          </w:p>
        </w:tc>
        <w:tc>
          <w:tcPr>
            <w:tcW w:type="dxa" w:w="3485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bench experiment answers a different question than a treatment trial.</w:t>
            </w:r>
          </w:p>
        </w:tc>
      </w:tr>
    </w:tbl>
    <w:p>
      <w:pPr>
        <w:pStyle w:val="Heading1"/>
      </w:pPr>
      <w:r>
        <w:t>5. Make the clinical decision</w:t>
      </w:r>
    </w:p>
    <w:p>
      <w:r>
        <w:rPr>
          <w:b/>
        </w:rPr>
        <w:t xml:space="preserve">You are chairing the design-selection meeting. </w:t>
      </w:r>
      <w:r>
        <w:t>A teammate declares that an RCT is always the best design for every cleft question.</w:t>
      </w:r>
    </w:p>
    <w:p>
      <w:pPr>
        <w:ind w:left="288"/>
      </w:pPr>
      <w:r>
        <w:rPr>
          <w:b/>
        </w:rPr>
        <w:t xml:space="preserve">A. </w:t>
      </w:r>
      <w:r>
        <w:t>Match each design to the treatment, harm, prognosis, or mechanism question.</w:t>
      </w:r>
    </w:p>
    <w:p>
      <w:pPr>
        <w:ind w:left="288"/>
      </w:pPr>
      <w:r>
        <w:rPr>
          <w:b/>
        </w:rPr>
        <w:t xml:space="preserve">B. </w:t>
      </w:r>
      <w:r>
        <w:t>Use an RCT even when it assigns suspected harm.</w:t>
      </w:r>
    </w:p>
    <w:p>
      <w:pPr>
        <w:ind w:left="288"/>
      </w:pPr>
      <w:r>
        <w:rPr>
          <w:b/>
        </w:rPr>
        <w:t xml:space="preserve">C. </w:t>
      </w:r>
      <w:r>
        <w:t>Use a case report for every question because it is fastest.</w:t>
      </w:r>
    </w:p>
    <w:p>
      <w:pPr>
        <w:spacing w:after="40"/>
      </w:pPr>
      <w:r>
        <w:rPr>
          <w:b/>
          <w:color w:val="2FD27A"/>
        </w:rPr>
        <w:t xml:space="preserve">Decision. </w:t>
      </w:r>
      <w:r>
        <w:rPr>
          <w:sz w:val="20"/>
        </w:rPr>
        <w:t>Choose the design rule and match the three supplied questions to appropriate designs.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rPr>
          <w:b/>
          <w:color w:val="F5C542"/>
        </w:rPr>
        <w:t xml:space="preserve">Claim ceiling: </w:t>
      </w:r>
      <w:r>
        <w:t>You may select a design family. You may not call any design free of bias or automatically decisive.</w:t>
      </w:r>
    </w:p>
    <w:p>
      <w:pPr>
        <w:spacing w:after="40"/>
      </w:pPr>
      <w:r>
        <w:rPr>
          <w:b/>
          <w:color w:val="2FD27A"/>
        </w:rPr>
        <w:t xml:space="preserve">Claim. </w:t>
      </w:r>
      <w:r>
        <w:rPr>
          <w:sz w:val="20"/>
        </w:rPr>
        <w:t>State the choice you can defend.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Evidence. </w:t>
      </w:r>
      <w:r>
        <w:rPr>
          <w:sz w:val="20"/>
        </w:rPr>
        <w:t>Use these labeled IDs: EXP03-E1 + EXP03-E2.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Reasoning. </w:t>
      </w:r>
      <w:r>
        <w:rPr>
          <w:sz w:val="20"/>
        </w:rPr>
        <w:t>Explain why the evidence supports the claim and stays inside the claim ceiling.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r>
        <w:br w:type="page"/>
      </w:r>
    </w:p>
    <w:p>
      <w:pPr>
        <w:spacing w:after="60"/>
      </w:pPr>
      <w:r>
        <w:rPr>
          <w:rFonts w:ascii="Aptos" w:hAnsi="Aptos"/>
          <w:b/>
          <w:color w:val="2FD27A"/>
          <w:sz w:val="16"/>
        </w:rPr>
        <w:t>EXPERIMENTAL DESIGN LESSON 3 | REDUCE, REFLECT, AND PREPARE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10339"/>
      </w:tblGrid>
      <w:tr>
        <w:tc>
          <w:tcPr>
            <w:tcW w:type="dxa" w:w="10454"/>
            <w:shd w:fill="2FD27A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20"/>
              </w:rPr>
              <w:t>6. Reduce the lesson to one lasting idea</w:t>
            </w:r>
          </w:p>
        </w:tc>
      </w:tr>
    </w:tbl>
    <w:p>
      <w:pPr>
        <w:spacing w:after="0"/>
      </w:pPr>
    </w:p>
    <w:p>
      <w:pPr>
        <w:spacing w:after="40"/>
      </w:pPr>
      <w:r>
        <w:rPr>
          <w:b/>
          <w:color w:val="2FD27A"/>
        </w:rPr>
        <w:t xml:space="preserve">Take-home. </w:t>
      </w:r>
      <w:r>
        <w:rPr>
          <w:sz w:val="20"/>
        </w:rPr>
        <w:t>The strongest design is the one that fits the question and controls its main threats.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1. </w:t>
      </w:r>
      <w:r>
        <w:rPr>
          <w:sz w:val="20"/>
        </w:rPr>
        <w:t>Why can a suspected harmful exposure not be randomized?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spacing w:after="40"/>
      </w:pPr>
      <w:r>
        <w:rPr>
          <w:b/>
          <w:color w:val="2FD27A"/>
        </w:rPr>
        <w:t xml:space="preserve">2. </w:t>
      </w:r>
      <w:r>
        <w:rPr>
          <w:sz w:val="20"/>
        </w:rPr>
        <w:t>Which design family can test a gene mechanism directly?</w:t>
      </w:r>
    </w:p>
    <w:p>
      <w:pPr>
        <w:spacing w:after="20"/>
      </w:pPr>
      <w:r>
        <w:rPr>
          <w:color w:val="B8C9C0"/>
          <w:sz w:val="16"/>
        </w:rPr>
        <w:t>________________________________________________________________________________</w:t>
      </w:r>
    </w:p>
    <w:p>
      <w:pPr>
        <w:pStyle w:val="Heading1"/>
      </w:pPr>
      <w:r>
        <w:t>Glossary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5227"/>
        <w:gridCol w:w="5227"/>
      </w:tblGrid>
      <w:tr>
        <w:trPr>
          <w:tblHeader w:val="true"/>
        </w:trPr>
        <w:tc>
          <w:tcPr>
            <w:tcW w:type="dxa" w:w="2880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Term</w:t>
            </w:r>
          </w:p>
        </w:tc>
        <w:tc>
          <w:tcPr>
            <w:tcW w:type="dxa" w:w="7272"/>
            <w:shd w:fill="123426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F7F3E8"/>
                <w:sz w:val="17"/>
              </w:rPr>
              <w:t>Plain-English definition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evidence hierarchy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ranking of research designs by how trustworthy their evidence is, placing systematic reviews and trials above observational studies and expert opinion.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levels of evidence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ranking of how trustworthy a study's findings are, with reviews of many strong trials at the top and single expert opinions near the bottom.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randomized controlled trial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study that randomly assigns participants to a treatment or a control group, the strongest design for showing a treatment truly works.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observational study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study that watches and records what happens to groups without assigning any treatment, so it can show links but not prove cause.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case report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detailed written account of one patient's diagnosis, treatment, and outcome, useful for sharing rare or unusual findings.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bias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A systematic error in how data is collected or interpreted that tilts results in one direction, making conclusions less accurate or unfair.</w:t>
            </w:r>
          </w:p>
        </w:tc>
      </w:tr>
      <w:tr>
        <w:tc>
          <w:tcPr>
            <w:tcW w:type="dxa" w:w="5227"/>
            <w:shd w:fill="E9F4ED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/>
                <w:color w:val="06140F"/>
                <w:sz w:val="17"/>
              </w:rPr>
              <w:t>confounding</w:t>
            </w:r>
          </w:p>
        </w:tc>
        <w:tc>
          <w:tcPr>
            <w:tcW w:type="dxa" w:w="5227"/>
            <w:vAlign w:val="center"/>
            <w:tcMar>
              <w:top w:w="90" w:type="dxa"/>
              <w:start w:w="110" w:type="dxa"/>
              <w:bottom w:w="90" w:type="dxa"/>
              <w:end w:w="110" w:type="dxa"/>
            </w:tcMar>
          </w:tcPr>
          <w:p>
            <w:pPr>
              <w:spacing w:after="0"/>
              <w:jc w:val="left"/>
            </w:pPr>
            <w:r/>
            <w:r>
              <w:rPr>
                <w:rFonts w:ascii="Aptos" w:hAnsi="Aptos"/>
                <w:b w:val="0"/>
                <w:color w:val="06140F"/>
                <w:sz w:val="17"/>
              </w:rPr>
              <w:t>When a hidden third factor influences both the suspected cause and the outcome, making a link look real when it may be misleading.</w:t>
            </w:r>
          </w:p>
        </w:tc>
      </w:tr>
    </w:tbl>
    <w:p>
      <w:pPr>
        <w:pStyle w:val="Heading1"/>
      </w:pPr>
      <w:r>
        <w:t>Next lesson unlock</w:t>
      </w:r>
    </w:p>
    <w:p>
      <w:pPr>
        <w:spacing w:after="100"/>
      </w:pPr>
      <w:r>
        <w:t>A randomized trial sits near the top because we can assign who gets the treatment. But we could never assign a baby to a harmful chemical in the womb. So how does science study a cause it is forbidden to hand out?</w:t>
      </w:r>
    </w:p>
    <w:p>
      <w:r>
        <w:rPr>
          <w:i/>
          <w:color w:val="5C6F65"/>
        </w:rPr>
        <w:t>The journal links on the lesson page are optional. Everything required for this guided-notes set is already supplied here and in the case file.</w:t>
      </w:r>
    </w:p>
    <w:sectPr w:rsidR="00FC693F" w:rsidRPr="0006063C" w:rsidSect="00034616">
      <w:headerReference w:type="default" r:id="rId9"/>
      <w:footerReference w:type="default" r:id="rId10"/>
      <w:pgSz w:w="12240" w:h="15840"/>
      <w:pgMar w:top="835" w:right="893" w:bottom="792" w:left="893" w:header="360" w:footer="36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  <w:jc w:val="right"/>
    </w:pPr>
    <w:r>
      <w:rPr>
        <w:rFonts w:ascii="Aptos" w:hAnsi="Aptos"/>
        <w:color w:val="5C6F65"/>
        <w:sz w:val="16"/>
      </w:rPr>
      <w:t xml:space="preserve">Page </w:t>
    </w:r>
    <w:fldSimple w:instr="PAGE"/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left"/>
    </w:pPr>
    <w:r>
      <w:rPr>
        <w:rFonts w:ascii="Aptos" w:hAnsi="Aptos"/>
        <w:b/>
        <w:color w:val="2FD27A"/>
        <w:sz w:val="16"/>
      </w:rPr>
      <w:t>JOHN HAY BIOMEDICAL  |  THE BABY MATEO CASE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59" w:lineRule="auto"/>
    </w:pPr>
    <w:rPr>
      <w:rFonts w:ascii="Aptos" w:hAnsi="Aptos"/>
      <w:color w:val="06140F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100"/>
      <w:outlineLvl w:val="0"/>
    </w:pPr>
    <w:rPr>
      <w:rFonts w:asciiTheme="majorHAnsi" w:eastAsiaTheme="majorEastAsia" w:hAnsiTheme="majorHAnsi" w:cstheme="majorBidi" w:ascii="Aptos Display" w:hAnsi="Aptos Display"/>
      <w:b/>
      <w:bCs/>
      <w:color w:val="06140F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20" w:after="100"/>
      <w:outlineLvl w:val="1"/>
    </w:pPr>
    <w:rPr>
      <w:rFonts w:asciiTheme="majorHAnsi" w:eastAsiaTheme="majorEastAsia" w:hAnsiTheme="majorHAnsi" w:cstheme="majorBidi" w:ascii="Aptos Display" w:hAnsi="Aptos Display"/>
      <w:b/>
      <w:bCs/>
      <w:color w:val="123426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120" w:after="100"/>
      <w:outlineLvl w:val="2"/>
    </w:pPr>
    <w:rPr>
      <w:rFonts w:asciiTheme="majorHAnsi" w:eastAsiaTheme="majorEastAsia" w:hAnsiTheme="majorHAnsi" w:cstheme="majorBidi" w:ascii="Aptos Display" w:hAnsi="Aptos Display"/>
      <w:b/>
      <w:bCs/>
      <w:color w:val="2FD27A"/>
      <w:sz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100" w:line="240" w:lineRule="auto" w:before="120"/>
      <w:contextualSpacing/>
    </w:pPr>
    <w:rPr>
      <w:rFonts w:asciiTheme="majorHAnsi" w:eastAsiaTheme="majorEastAsia" w:hAnsiTheme="majorHAnsi" w:cstheme="majorBidi" w:ascii="Aptos Display" w:hAnsi="Aptos Display"/>
      <w:b/>
      <w:color w:val="06140F"/>
      <w:spacing w:val="5"/>
      <w:kern w:val="28"/>
      <w:sz w:val="5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1.jpg"/><Relationship Id="rId12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Experimental Design Lesson 3: Guided Notes</dc:title>
  <dc:subject>Socratic guided notes aligned to the lesson deck</dc:subject>
  <dc:creator>John Hay Biomedical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