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60"/>
      </w:pPr>
      <w:r>
        <w:rPr>
          <w:rFonts w:ascii="Aptos" w:hAnsi="Aptos"/>
          <w:b/>
          <w:color w:val="2FD27A"/>
          <w:sz w:val="16"/>
        </w:rPr>
        <w:t>DISEASE DOMAIN | LESSON 15 OF 20 | PEDIATRICIAN (CLEFT TEAM)</w:t>
      </w:r>
    </w:p>
    <w:p>
      <w:pPr>
        <w:pStyle w:val="Title"/>
        <w:spacing w:after="80"/>
      </w:pPr>
      <w:r>
        <w:t>Is Mateo Growing Well?</w:t>
      </w:r>
    </w:p>
    <w:p>
      <w:pPr>
        <w:spacing w:after="200"/>
      </w:pPr>
      <w:r>
        <w:rPr>
          <w:rFonts w:ascii="Aptos" w:hAnsi="Aptos"/>
          <w:color w:val="5C6F65"/>
          <w:sz w:val="22"/>
        </w:rPr>
        <w:t>Why are cleft infants at risk for poor growth, and how does the pediatrician keep track of whether Mateo is growing and developing well?</w:t>
      </w:r>
    </w:p>
    <w:tbl>
      <w:tblPr>
        <w:tblW w:type="auto" w:w="0"/>
        <w:jc w:val="center"/>
        <w:tblLayout w:type="fixed"/>
        <w:tblLook w:firstColumn="1" w:firstRow="1" w:lastColumn="0" w:lastRow="0" w:noHBand="0" w:noVBand="1" w:val="04A0"/>
      </w:tblPr>
      <w:tblGrid>
        <w:gridCol w:w="5227"/>
        <w:gridCol w:w="5227"/>
      </w:tblGrid>
      <w:tr>
        <w:tc>
          <w:tcPr>
            <w:tcW w:type="dxa" w:w="5054"/>
            <w:shd w:fill="E9F4ED"/>
            <w:tcMar>
              <w:top w:w="130" w:type="dxa"/>
              <w:start w:w="145" w:type="dxa"/>
              <w:bottom w:w="130" w:type="dxa"/>
              <w:end w:w="145" w:type="dxa"/>
            </w:tcMar>
          </w:tcPr>
          <w:p>
            <w:pPr>
              <w:spacing w:after="60"/>
            </w:pPr>
            <w:r/>
            <w:r>
              <w:rPr>
                <w:rFonts w:ascii="Aptos" w:hAnsi="Aptos"/>
                <w:b/>
                <w:color w:val="2FD27A"/>
                <w:sz w:val="16"/>
              </w:rPr>
              <w:t>CARRY FORWARD</w:t>
            </w:r>
          </w:p>
          <w:p>
            <w:pPr>
              <w:spacing w:after="0"/>
            </w:pPr>
            <w:r>
              <w:rPr>
                <w:rFonts w:ascii="Aptos" w:hAnsi="Aptos"/>
                <w:b/>
                <w:color w:val="06140F"/>
                <w:sz w:val="20"/>
              </w:rPr>
              <w:t>Dental and orthodontic care is staged because teeth, bone, and facial growth change on different schedules.</w:t>
            </w:r>
          </w:p>
        </w:tc>
        <w:tc>
          <w:tcPr>
            <w:tcW w:type="dxa" w:w="5054"/>
            <w:shd w:fill="FFF7D5"/>
            <w:tcMar>
              <w:top w:w="130" w:type="dxa"/>
              <w:start w:w="145" w:type="dxa"/>
              <w:bottom w:w="130" w:type="dxa"/>
              <w:end w:w="145" w:type="dxa"/>
            </w:tcMar>
          </w:tcPr>
          <w:p>
            <w:pPr>
              <w:spacing w:after="60"/>
            </w:pPr>
            <w:r/>
            <w:r>
              <w:rPr>
                <w:rFonts w:ascii="Aptos" w:hAnsi="Aptos"/>
                <w:b/>
                <w:color w:val="8A6B00"/>
                <w:sz w:val="16"/>
              </w:rPr>
              <w:t>10-YEAR TAKEAWAY</w:t>
            </w:r>
          </w:p>
          <w:p>
            <w:pPr>
              <w:spacing w:after="0"/>
            </w:pPr>
            <w:r>
              <w:rPr>
                <w:rFonts w:ascii="Aptos" w:hAnsi="Aptos"/>
                <w:b/>
                <w:color w:val="06140F"/>
                <w:sz w:val="20"/>
              </w:rPr>
              <w:t>Growth decisions come from trends across time, not one measurement on one day.</w:t>
            </w:r>
          </w:p>
        </w:tc>
      </w:tr>
    </w:tbl>
    <w:p/>
    <w:tbl>
      <w:tblPr>
        <w:tblW w:type="auto" w:w="0"/>
        <w:jc w:val="center"/>
        <w:tblLayout w:type="fixed"/>
        <w:tblLook w:firstColumn="1" w:firstRow="1" w:lastColumn="0" w:lastRow="0" w:noHBand="0" w:noVBand="1" w:val="04A0"/>
      </w:tblPr>
      <w:tblGrid>
        <w:gridCol w:w="2613"/>
        <w:gridCol w:w="2613"/>
        <w:gridCol w:w="2613"/>
        <w:gridCol w:w="2613"/>
      </w:tblGrid>
      <w:tr>
        <w:tc>
          <w:tcPr>
            <w:tcW w:type="dxa" w:w="2613"/>
            <w:shd w:fill="E9F4ED"/>
            <w:vAlign w:val="center"/>
            <w:tcMar>
              <w:top w:w="90" w:type="dxa"/>
              <w:start w:w="110" w:type="dxa"/>
              <w:bottom w:w="90" w:type="dxa"/>
              <w:end w:w="110" w:type="dxa"/>
            </w:tcMar>
          </w:tcPr>
          <w:p>
            <w:pPr>
              <w:spacing w:after="0"/>
              <w:jc w:val="center"/>
            </w:pPr>
            <w:r/>
            <w:r>
              <w:rPr>
                <w:rFonts w:ascii="Aptos" w:hAnsi="Aptos"/>
                <w:b/>
                <w:color w:val="06140F"/>
                <w:sz w:val="17"/>
              </w:rPr>
              <w:t>Cells differentiate</w:t>
            </w:r>
          </w:p>
        </w:tc>
        <w:tc>
          <w:tcPr>
            <w:tcW w:type="dxa" w:w="2613"/>
            <w:shd w:fill="2FD27A"/>
            <w:vAlign w:val="center"/>
            <w:tcMar>
              <w:top w:w="90" w:type="dxa"/>
              <w:start w:w="110" w:type="dxa"/>
              <w:bottom w:w="90" w:type="dxa"/>
              <w:end w:w="110" w:type="dxa"/>
            </w:tcMar>
          </w:tcPr>
          <w:p>
            <w:pPr>
              <w:spacing w:after="0"/>
              <w:jc w:val="center"/>
            </w:pPr>
            <w:r/>
            <w:r>
              <w:rPr>
                <w:rFonts w:ascii="Aptos" w:hAnsi="Aptos"/>
                <w:b/>
                <w:color w:val="06140F"/>
                <w:sz w:val="17"/>
              </w:rPr>
              <w:t>Development sculpts</w:t>
            </w:r>
          </w:p>
        </w:tc>
        <w:tc>
          <w:tcPr>
            <w:tcW w:type="dxa" w:w="2613"/>
            <w:shd w:fill="E9F4ED"/>
            <w:vAlign w:val="center"/>
            <w:tcMar>
              <w:top w:w="90" w:type="dxa"/>
              <w:start w:w="110" w:type="dxa"/>
              <w:bottom w:w="90" w:type="dxa"/>
              <w:end w:w="110" w:type="dxa"/>
            </w:tcMar>
          </w:tcPr>
          <w:p>
            <w:pPr>
              <w:spacing w:after="0"/>
              <w:jc w:val="center"/>
            </w:pPr>
            <w:r/>
            <w:r>
              <w:rPr>
                <w:rFonts w:ascii="Aptos" w:hAnsi="Aptos"/>
                <w:b/>
                <w:color w:val="06140F"/>
                <w:sz w:val="17"/>
              </w:rPr>
              <w:t>Cells move</w:t>
            </w:r>
          </w:p>
        </w:tc>
        <w:tc>
          <w:tcPr>
            <w:tcW w:type="dxa" w:w="2613"/>
            <w:shd w:fill="E9F4ED"/>
            <w:vAlign w:val="center"/>
            <w:tcMar>
              <w:top w:w="90" w:type="dxa"/>
              <w:start w:w="110" w:type="dxa"/>
              <w:bottom w:w="90" w:type="dxa"/>
              <w:end w:w="110" w:type="dxa"/>
            </w:tcMar>
          </w:tcPr>
          <w:p>
            <w:pPr>
              <w:spacing w:after="0"/>
              <w:jc w:val="center"/>
            </w:pPr>
            <w:r/>
            <w:r>
              <w:rPr>
                <w:rFonts w:ascii="Aptos" w:hAnsi="Aptos"/>
                <w:b/>
                <w:color w:val="06140F"/>
                <w:sz w:val="17"/>
              </w:rPr>
              <w:t>Development can go wrong</w:t>
            </w:r>
          </w:p>
        </w:tc>
      </w:tr>
    </w:tbl>
    <w:p>
      <w:pPr>
        <w:pStyle w:val="Heading1"/>
      </w:pPr>
      <w:r>
        <w:t>1. Observe the analogy before naming the biology</w:t>
      </w:r>
    </w:p>
    <w:p>
      <w:pPr>
        <w:spacing w:after="40"/>
        <w:jc w:val="center"/>
      </w:pPr>
      <w:r>
        <w:drawing>
          <wp:inline xmlns:a="http://schemas.openxmlformats.org/drawingml/2006/main" xmlns:pic="http://schemas.openxmlformats.org/drawingml/2006/picture">
            <wp:extent cx="3108960" cy="3108960"/>
            <wp:docPr id="1" name="Picture 1"/>
            <wp:cNvGraphicFramePr>
              <a:graphicFrameLocks noChangeAspect="1"/>
            </wp:cNvGraphicFramePr>
            <a:graphic>
              <a:graphicData uri="http://schemas.openxmlformats.org/drawingml/2006/picture">
                <pic:pic>
                  <pic:nvPicPr>
                    <pic:cNvPr id="0" name="image.jpg"/>
                    <pic:cNvPicPr/>
                  </pic:nvPicPr>
                  <pic:blipFill>
                    <a:blip r:embed="rId11"/>
                    <a:stretch>
                      <a:fillRect/>
                    </a:stretch>
                  </pic:blipFill>
                  <pic:spPr>
                    <a:xfrm>
                      <a:off x="0" y="0"/>
                      <a:ext cx="3108960" cy="3108960"/>
                    </a:xfrm>
                    <a:prstGeom prst="rect"/>
                  </pic:spPr>
                </pic:pic>
              </a:graphicData>
            </a:graphic>
          </wp:inline>
        </w:drawing>
      </w:r>
    </w:p>
    <w:p>
      <w:pPr>
        <w:spacing w:after="100"/>
        <w:jc w:val="center"/>
      </w:pPr>
      <w:r>
        <w:rPr>
          <w:rFonts w:ascii="Aptos" w:hAnsi="Aptos"/>
          <w:i/>
          <w:color w:val="5C6F65"/>
          <w:sz w:val="15"/>
        </w:rPr>
        <w:t>Illustration: A movie shows change that a snapshot cannot</w:t>
      </w:r>
    </w:p>
    <w:p>
      <w:pPr>
        <w:spacing w:after="40"/>
      </w:pPr>
      <w:r>
        <w:rPr>
          <w:b/>
          <w:color w:val="2FD27A"/>
        </w:rPr>
        <w:t xml:space="preserve">1. </w:t>
      </w:r>
      <w:r>
        <w:rPr>
          <w:sz w:val="20"/>
        </w:rPr>
        <w:t>What can the sequence show that one frame cannot?</w:t>
      </w:r>
    </w:p>
    <w:p>
      <w:pPr>
        <w:spacing w:after="20"/>
      </w:pPr>
      <w:r>
        <w:rPr>
          <w:color w:val="B8C9C0"/>
          <w:sz w:val="16"/>
        </w:rPr>
        <w:t>________________________________________________________________________________</w:t>
      </w:r>
    </w:p>
    <w:p>
      <w:pPr>
        <w:spacing w:after="40"/>
      </w:pPr>
      <w:r>
        <w:rPr>
          <w:b/>
          <w:color w:val="2FD27A"/>
        </w:rPr>
        <w:t xml:space="preserve">2. </w:t>
      </w:r>
      <w:r>
        <w:rPr>
          <w:sz w:val="20"/>
        </w:rPr>
        <w:t>Which direction is the trend moving?</w:t>
      </w:r>
    </w:p>
    <w:p>
      <w:pPr>
        <w:spacing w:after="20"/>
      </w:pPr>
      <w:r>
        <w:rPr>
          <w:color w:val="B8C9C0"/>
          <w:sz w:val="16"/>
        </w:rPr>
        <w:t>________________________________________________________________________________</w:t>
      </w:r>
    </w:p>
    <w:p>
      <w:pPr>
        <w:spacing w:after="40"/>
      </w:pPr>
      <w:r>
        <w:rPr>
          <w:b/>
          <w:color w:val="2FD27A"/>
        </w:rPr>
        <w:t xml:space="preserve">3. </w:t>
      </w:r>
      <w:r>
        <w:rPr>
          <w:sz w:val="20"/>
        </w:rPr>
        <w:t>When would a single low point be less concerning?</w:t>
      </w:r>
    </w:p>
    <w:p>
      <w:pPr>
        <w:spacing w:after="20"/>
      </w:pPr>
      <w:r>
        <w:rPr>
          <w:color w:val="B8C9C0"/>
          <w:sz w:val="16"/>
        </w:rPr>
        <w:t>________________________________________________________________________________</w:t>
      </w:r>
    </w:p>
    <w:p>
      <w:r>
        <w:br w:type="page"/>
      </w:r>
    </w:p>
    <w:p>
      <w:pPr>
        <w:spacing w:after="60"/>
      </w:pPr>
      <w:r>
        <w:rPr>
          <w:rFonts w:ascii="Aptos" w:hAnsi="Aptos"/>
          <w:b/>
          <w:color w:val="2FD27A"/>
          <w:sz w:val="16"/>
        </w:rPr>
        <w:t>DISEASE LESSON 15 | RULES AND BIOLOGY MAPPING</w:t>
      </w:r>
    </w:p>
    <w:tbl>
      <w:tblPr>
        <w:tblW w:type="auto" w:w="0"/>
        <w:jc w:val="center"/>
        <w:tblLayout w:type="fixed"/>
        <w:tblLook w:firstColumn="1" w:firstRow="1" w:lastColumn="0" w:lastRow="0" w:noHBand="0" w:noVBand="1" w:val="04A0"/>
      </w:tblPr>
      <w:tblGrid>
        <w:gridCol w:w="10339"/>
      </w:tblGrid>
      <w:tr>
        <w:tc>
          <w:tcPr>
            <w:tcW w:type="dxa" w:w="10454"/>
            <w:shd w:fill="06140F"/>
            <w:vAlign w:val="center"/>
            <w:tcMar>
              <w:top w:w="90" w:type="dxa"/>
              <w:start w:w="110" w:type="dxa"/>
              <w:bottom w:w="90" w:type="dxa"/>
              <w:end w:w="110" w:type="dxa"/>
            </w:tcMar>
          </w:tcPr>
          <w:p>
            <w:pPr>
              <w:spacing w:after="0"/>
              <w:jc w:val="left"/>
            </w:pPr>
            <w:r/>
            <w:r>
              <w:rPr>
                <w:rFonts w:ascii="Aptos" w:hAnsi="Aptos"/>
                <w:b/>
                <w:color w:val="F7F3E8"/>
                <w:sz w:val="20"/>
              </w:rPr>
              <w:t>2. Turn observations into rules</w:t>
            </w:r>
          </w:p>
        </w:tc>
      </w:tr>
    </w:tbl>
    <w:p>
      <w:pPr>
        <w:spacing w:after="0"/>
      </w:pPr>
    </w:p>
    <w:p>
      <w:pPr>
        <w:spacing w:after="40"/>
      </w:pPr>
      <w:r>
        <w:rPr>
          <w:b/>
          <w:color w:val="2FD27A"/>
        </w:rPr>
        <w:t xml:space="preserve">1. </w:t>
      </w:r>
      <w:r>
        <w:rPr>
          <w:sz w:val="20"/>
        </w:rPr>
        <w:t>Rule 1: Repeat measurements in the same way. Explain it in your own words.</w:t>
      </w:r>
    </w:p>
    <w:p>
      <w:pPr>
        <w:spacing w:after="20"/>
      </w:pPr>
      <w:r>
        <w:rPr>
          <w:color w:val="B8C9C0"/>
          <w:sz w:val="16"/>
        </w:rPr>
        <w:t>________________________________________________________________________________</w:t>
      </w:r>
    </w:p>
    <w:p>
      <w:pPr>
        <w:spacing w:after="40"/>
      </w:pPr>
      <w:r>
        <w:rPr>
          <w:b/>
          <w:color w:val="2FD27A"/>
        </w:rPr>
        <w:t xml:space="preserve">2. </w:t>
      </w:r>
      <w:r>
        <w:rPr>
          <w:sz w:val="20"/>
        </w:rPr>
        <w:t>Rule 2: Look for direction and rate of change. Explain it in your own words.</w:t>
      </w:r>
    </w:p>
    <w:p>
      <w:pPr>
        <w:spacing w:after="20"/>
      </w:pPr>
      <w:r>
        <w:rPr>
          <w:color w:val="B8C9C0"/>
          <w:sz w:val="16"/>
        </w:rPr>
        <w:t>________________________________________________________________________________</w:t>
      </w:r>
    </w:p>
    <w:p>
      <w:pPr>
        <w:spacing w:after="40"/>
      </w:pPr>
      <w:r>
        <w:rPr>
          <w:b/>
          <w:color w:val="2FD27A"/>
        </w:rPr>
        <w:t xml:space="preserve">3. </w:t>
      </w:r>
      <w:r>
        <w:rPr>
          <w:sz w:val="20"/>
        </w:rPr>
        <w:t>Rule 3: Interpret the trend with development and clinical context. Explain it in your own words.</w:t>
      </w:r>
    </w:p>
    <w:p>
      <w:pPr>
        <w:spacing w:after="20"/>
      </w:pPr>
      <w:r>
        <w:rPr>
          <w:color w:val="B8C9C0"/>
          <w:sz w:val="16"/>
        </w:rPr>
        <w:t>________________________________________________________________________________</w:t>
      </w:r>
    </w:p>
    <w:p>
      <w:r>
        <w:rPr>
          <w:b/>
          <w:color w:val="F5C542"/>
        </w:rPr>
        <w:t xml:space="preserve">Where the analogy stops: </w:t>
      </w:r>
      <w:r>
        <w:t>Growth is not a movie with identical frames. The analogy models the value of repeated observations.</w:t>
      </w:r>
    </w:p>
    <w:p>
      <w:pPr>
        <w:pStyle w:val="Heading1"/>
      </w:pPr>
      <w:r>
        <w:t>3. Map the rules onto the biomedical example</w:t>
      </w:r>
    </w:p>
    <w:p>
      <w:pPr>
        <w:spacing w:after="40"/>
        <w:jc w:val="center"/>
      </w:pPr>
      <w:r>
        <w:drawing>
          <wp:inline xmlns:a="http://schemas.openxmlformats.org/drawingml/2006/main" xmlns:pic="http://schemas.openxmlformats.org/drawingml/2006/picture">
            <wp:extent cx="3063240" cy="3063240"/>
            <wp:docPr id="2" name="Picture 2"/>
            <wp:cNvGraphicFramePr>
              <a:graphicFrameLocks noChangeAspect="1"/>
            </wp:cNvGraphicFramePr>
            <a:graphic>
              <a:graphicData uri="http://schemas.openxmlformats.org/drawingml/2006/picture">
                <pic:pic>
                  <pic:nvPicPr>
                    <pic:cNvPr id="0" name="image.jpg"/>
                    <pic:cNvPicPr/>
                  </pic:nvPicPr>
                  <pic:blipFill>
                    <a:blip r:embed="rId12"/>
                    <a:stretch>
                      <a:fillRect/>
                    </a:stretch>
                  </pic:blipFill>
                  <pic:spPr>
                    <a:xfrm>
                      <a:off x="0" y="0"/>
                      <a:ext cx="3063240" cy="3063240"/>
                    </a:xfrm>
                    <a:prstGeom prst="rect"/>
                  </pic:spPr>
                </pic:pic>
              </a:graphicData>
            </a:graphic>
          </wp:inline>
        </w:drawing>
      </w:r>
    </w:p>
    <w:p>
      <w:pPr>
        <w:spacing w:after="100"/>
        <w:jc w:val="center"/>
      </w:pPr>
      <w:r>
        <w:rPr>
          <w:rFonts w:ascii="Aptos" w:hAnsi="Aptos"/>
          <w:i/>
          <w:color w:val="5C6F65"/>
          <w:sz w:val="15"/>
        </w:rPr>
        <w:t>Biomedical teaching illustration: Read Mateo's growth as a longitudinal pattern</w:t>
      </w:r>
    </w:p>
    <w:tbl>
      <w:tblPr>
        <w:tblStyle w:val="TableGrid"/>
        <w:tblW w:type="auto" w:w="0"/>
        <w:jc w:val="center"/>
        <w:tblLook w:firstColumn="1" w:firstRow="1" w:lastColumn="0" w:lastRow="0" w:noHBand="0" w:noVBand="1" w:val="04A0"/>
      </w:tblPr>
      <w:tblGrid>
        <w:gridCol w:w="3485"/>
        <w:gridCol w:w="3485"/>
        <w:gridCol w:w="3485"/>
      </w:tblGrid>
      <w:tr>
        <w:tc>
          <w:tcPr>
            <w:tcW w:type="dxa" w:w="3485"/>
            <w:shd w:fill="123426"/>
            <w:vAlign w:val="center"/>
            <w:tcMar>
              <w:top w:w="90" w:type="dxa"/>
              <w:start w:w="110" w:type="dxa"/>
              <w:bottom w:w="90" w:type="dxa"/>
              <w:end w:w="110" w:type="dxa"/>
            </w:tcMar>
          </w:tcPr>
          <w:p>
            <w:pPr>
              <w:spacing w:after="0"/>
              <w:jc w:val="left"/>
            </w:pPr>
            <w:r/>
            <w:r>
              <w:rPr>
                <w:rFonts w:ascii="Aptos" w:hAnsi="Aptos"/>
                <w:b/>
                <w:color w:val="F7F3E8"/>
                <w:sz w:val="17"/>
              </w:rPr>
              <w:t>Analogy step</w:t>
            </w:r>
          </w:p>
        </w:tc>
        <w:tc>
          <w:tcPr>
            <w:tcW w:type="dxa" w:w="3485"/>
            <w:shd w:fill="123426"/>
            <w:vAlign w:val="center"/>
            <w:tcMar>
              <w:top w:w="90" w:type="dxa"/>
              <w:start w:w="110" w:type="dxa"/>
              <w:bottom w:w="90" w:type="dxa"/>
              <w:end w:w="110" w:type="dxa"/>
            </w:tcMar>
          </w:tcPr>
          <w:p>
            <w:pPr>
              <w:spacing w:after="0"/>
              <w:jc w:val="left"/>
            </w:pPr>
            <w:r/>
            <w:r>
              <w:rPr>
                <w:rFonts w:ascii="Aptos" w:hAnsi="Aptos"/>
                <w:b/>
                <w:color w:val="F7F3E8"/>
                <w:sz w:val="17"/>
              </w:rPr>
              <w:t>Biology step</w:t>
            </w:r>
          </w:p>
        </w:tc>
        <w:tc>
          <w:tcPr>
            <w:tcW w:type="dxa" w:w="3485"/>
            <w:shd w:fill="123426"/>
            <w:vAlign w:val="center"/>
            <w:tcMar>
              <w:top w:w="90" w:type="dxa"/>
              <w:start w:w="110" w:type="dxa"/>
              <w:bottom w:w="90" w:type="dxa"/>
              <w:end w:w="110" w:type="dxa"/>
            </w:tcMar>
          </w:tcPr>
          <w:p>
            <w:pPr>
              <w:spacing w:after="0"/>
              <w:jc w:val="left"/>
            </w:pPr>
            <w:r/>
            <w:r>
              <w:rPr>
                <w:rFonts w:ascii="Aptos" w:hAnsi="Aptos"/>
                <w:b/>
                <w:color w:val="F7F3E8"/>
                <w:sz w:val="17"/>
              </w:rPr>
              <w:t>How the relationship stays the same</w:t>
            </w:r>
          </w:p>
        </w:tc>
      </w:tr>
      <w:tr>
        <w:tc>
          <w:tcPr>
            <w:tcW w:type="dxa" w:w="3485"/>
            <w:vAlign w:val="center"/>
            <w:tcMar>
              <w:top w:w="90" w:type="dxa"/>
              <w:start w:w="110" w:type="dxa"/>
              <w:bottom w:w="90" w:type="dxa"/>
              <w:end w:w="110" w:type="dxa"/>
            </w:tcMar>
          </w:tcPr>
          <w:p>
            <w:pPr>
              <w:spacing w:after="0"/>
              <w:jc w:val="left"/>
            </w:pPr>
            <w:r/>
            <w:r>
              <w:rPr>
                <w:rFonts w:ascii="Aptos" w:hAnsi="Aptos"/>
                <w:b/>
                <w:color w:val="06140F"/>
                <w:sz w:val="17"/>
              </w:rPr>
              <w:t>Single frame</w:t>
            </w:r>
          </w:p>
        </w:tc>
        <w:tc>
          <w:tcPr>
            <w:tcW w:type="dxa" w:w="3485"/>
            <w:vAlign w:val="center"/>
            <w:tcMar>
              <w:top w:w="90" w:type="dxa"/>
              <w:start w:w="110" w:type="dxa"/>
              <w:bottom w:w="90" w:type="dxa"/>
              <w:end w:w="110" w:type="dxa"/>
            </w:tcMar>
          </w:tcPr>
          <w:p>
            <w:pPr>
              <w:spacing w:after="0"/>
              <w:jc w:val="left"/>
            </w:pPr>
            <w:r/>
            <w:r>
              <w:rPr>
                <w:rFonts w:ascii="Aptos" w:hAnsi="Aptos"/>
                <w:b w:val="0"/>
                <w:color w:val="06140F"/>
                <w:sz w:val="17"/>
              </w:rPr>
              <w:t>One weight or percentile</w:t>
            </w:r>
          </w:p>
        </w:tc>
        <w:tc>
          <w:tcPr>
            <w:tcW w:type="dxa" w:w="3485"/>
            <w:vAlign w:val="center"/>
            <w:tcMar>
              <w:top w:w="90" w:type="dxa"/>
              <w:start w:w="110" w:type="dxa"/>
              <w:bottom w:w="90" w:type="dxa"/>
              <w:end w:w="110" w:type="dxa"/>
            </w:tcMar>
          </w:tcPr>
          <w:p>
            <w:pPr>
              <w:spacing w:after="0"/>
              <w:jc w:val="left"/>
            </w:pPr>
            <w:r/>
            <w:r>
              <w:rPr>
                <w:rFonts w:ascii="Aptos" w:hAnsi="Aptos"/>
                <w:b w:val="0"/>
                <w:color w:val="5C6F65"/>
                <w:sz w:val="17"/>
              </w:rPr>
              <w:t>________________________________</w:t>
            </w:r>
          </w:p>
        </w:tc>
      </w:tr>
      <w:tr>
        <w:tc>
          <w:tcPr>
            <w:tcW w:type="dxa" w:w="3485"/>
            <w:vAlign w:val="center"/>
            <w:tcMar>
              <w:top w:w="90" w:type="dxa"/>
              <w:start w:w="110" w:type="dxa"/>
              <w:bottom w:w="90" w:type="dxa"/>
              <w:end w:w="110" w:type="dxa"/>
            </w:tcMar>
          </w:tcPr>
          <w:p>
            <w:pPr>
              <w:spacing w:after="0"/>
              <w:jc w:val="left"/>
            </w:pPr>
            <w:r/>
            <w:r>
              <w:rPr>
                <w:rFonts w:ascii="Aptos" w:hAnsi="Aptos"/>
                <w:b/>
                <w:color w:val="06140F"/>
                <w:sz w:val="17"/>
              </w:rPr>
              <w:t>Frame sequence</w:t>
            </w:r>
          </w:p>
        </w:tc>
        <w:tc>
          <w:tcPr>
            <w:tcW w:type="dxa" w:w="3485"/>
            <w:vAlign w:val="center"/>
            <w:tcMar>
              <w:top w:w="90" w:type="dxa"/>
              <w:start w:w="110" w:type="dxa"/>
              <w:bottom w:w="90" w:type="dxa"/>
              <w:end w:w="110" w:type="dxa"/>
            </w:tcMar>
          </w:tcPr>
          <w:p>
            <w:pPr>
              <w:spacing w:after="0"/>
              <w:jc w:val="left"/>
            </w:pPr>
            <w:r/>
            <w:r>
              <w:rPr>
                <w:rFonts w:ascii="Aptos" w:hAnsi="Aptos"/>
                <w:b w:val="0"/>
                <w:color w:val="06140F"/>
                <w:sz w:val="17"/>
              </w:rPr>
              <w:t>Repeated measurements over months</w:t>
            </w:r>
          </w:p>
        </w:tc>
        <w:tc>
          <w:tcPr>
            <w:tcW w:type="dxa" w:w="3485"/>
            <w:vAlign w:val="center"/>
            <w:tcMar>
              <w:top w:w="90" w:type="dxa"/>
              <w:start w:w="110" w:type="dxa"/>
              <w:bottom w:w="90" w:type="dxa"/>
              <w:end w:w="110" w:type="dxa"/>
            </w:tcMar>
          </w:tcPr>
          <w:p>
            <w:pPr>
              <w:spacing w:after="0"/>
              <w:jc w:val="left"/>
            </w:pPr>
            <w:r/>
            <w:r>
              <w:rPr>
                <w:rFonts w:ascii="Aptos" w:hAnsi="Aptos"/>
                <w:b w:val="0"/>
                <w:color w:val="5C6F65"/>
                <w:sz w:val="17"/>
              </w:rPr>
              <w:t>________________________________</w:t>
            </w:r>
          </w:p>
        </w:tc>
      </w:tr>
      <w:tr>
        <w:tc>
          <w:tcPr>
            <w:tcW w:type="dxa" w:w="3485"/>
            <w:vAlign w:val="center"/>
            <w:tcMar>
              <w:top w:w="90" w:type="dxa"/>
              <w:start w:w="110" w:type="dxa"/>
              <w:bottom w:w="90" w:type="dxa"/>
              <w:end w:w="110" w:type="dxa"/>
            </w:tcMar>
          </w:tcPr>
          <w:p>
            <w:pPr>
              <w:spacing w:after="0"/>
              <w:jc w:val="left"/>
            </w:pPr>
            <w:r/>
            <w:r>
              <w:rPr>
                <w:rFonts w:ascii="Aptos" w:hAnsi="Aptos"/>
                <w:b/>
                <w:color w:val="06140F"/>
                <w:sz w:val="17"/>
              </w:rPr>
              <w:t>Plot change</w:t>
            </w:r>
          </w:p>
        </w:tc>
        <w:tc>
          <w:tcPr>
            <w:tcW w:type="dxa" w:w="3485"/>
            <w:vAlign w:val="center"/>
            <w:tcMar>
              <w:top w:w="90" w:type="dxa"/>
              <w:start w:w="110" w:type="dxa"/>
              <w:bottom w:w="90" w:type="dxa"/>
              <w:end w:w="110" w:type="dxa"/>
            </w:tcMar>
          </w:tcPr>
          <w:p>
            <w:pPr>
              <w:spacing w:after="0"/>
              <w:jc w:val="left"/>
            </w:pPr>
            <w:r/>
            <w:r>
              <w:rPr>
                <w:rFonts w:ascii="Aptos" w:hAnsi="Aptos"/>
                <w:b w:val="0"/>
                <w:color w:val="06140F"/>
                <w:sz w:val="17"/>
              </w:rPr>
              <w:t>Growth trend and milestone progression</w:t>
            </w:r>
          </w:p>
        </w:tc>
        <w:tc>
          <w:tcPr>
            <w:tcW w:type="dxa" w:w="3485"/>
            <w:vAlign w:val="center"/>
            <w:tcMar>
              <w:top w:w="90" w:type="dxa"/>
              <w:start w:w="110" w:type="dxa"/>
              <w:bottom w:w="90" w:type="dxa"/>
              <w:end w:w="110" w:type="dxa"/>
            </w:tcMar>
          </w:tcPr>
          <w:p>
            <w:pPr>
              <w:spacing w:after="0"/>
              <w:jc w:val="left"/>
            </w:pPr>
            <w:r/>
            <w:r>
              <w:rPr>
                <w:rFonts w:ascii="Aptos" w:hAnsi="Aptos"/>
                <w:b w:val="0"/>
                <w:color w:val="5C6F65"/>
                <w:sz w:val="17"/>
              </w:rPr>
              <w:t>________________________________</w:t>
            </w:r>
          </w:p>
        </w:tc>
      </w:tr>
    </w:tbl>
    <w:p>
      <w:r>
        <w:br w:type="page"/>
      </w:r>
    </w:p>
    <w:p>
      <w:pPr>
        <w:spacing w:after="60"/>
      </w:pPr>
      <w:r>
        <w:rPr>
          <w:rFonts w:ascii="Aptos" w:hAnsi="Aptos"/>
          <w:b/>
          <w:color w:val="2FD27A"/>
          <w:sz w:val="16"/>
        </w:rPr>
        <w:t>DISEASE LESSON 15 | CASE FILE AND DECISION</w:t>
      </w:r>
    </w:p>
    <w:tbl>
      <w:tblPr>
        <w:tblW w:type="auto" w:w="0"/>
        <w:jc w:val="center"/>
        <w:tblLayout w:type="fixed"/>
        <w:tblLook w:firstColumn="1" w:firstRow="1" w:lastColumn="0" w:lastRow="0" w:noHBand="0" w:noVBand="1" w:val="04A0"/>
      </w:tblPr>
      <w:tblGrid>
        <w:gridCol w:w="10339"/>
      </w:tblGrid>
      <w:tr>
        <w:tc>
          <w:tcPr>
            <w:tcW w:type="dxa" w:w="10454"/>
            <w:shd w:fill="06140F"/>
            <w:vAlign w:val="center"/>
            <w:tcMar>
              <w:top w:w="90" w:type="dxa"/>
              <w:start w:w="110" w:type="dxa"/>
              <w:bottom w:w="90" w:type="dxa"/>
              <w:end w:w="110" w:type="dxa"/>
            </w:tcMar>
          </w:tcPr>
          <w:p>
            <w:pPr>
              <w:spacing w:after="0"/>
              <w:jc w:val="left"/>
            </w:pPr>
            <w:r/>
            <w:r>
              <w:rPr>
                <w:rFonts w:ascii="Aptos" w:hAnsi="Aptos"/>
                <w:b/>
                <w:color w:val="F7F3E8"/>
                <w:sz w:val="20"/>
              </w:rPr>
              <w:t>4. Use the case evidence</w:t>
            </w:r>
          </w:p>
        </w:tc>
      </w:tr>
    </w:tbl>
    <w:p>
      <w:pPr>
        <w:spacing w:after="0"/>
      </w:pPr>
    </w:p>
    <w:tbl>
      <w:tblPr>
        <w:tblStyle w:val="TableGrid"/>
        <w:tblW w:type="auto" w:w="0"/>
        <w:jc w:val="center"/>
        <w:tblLayout w:type="fixed"/>
        <w:tblLook w:firstColumn="1" w:firstRow="1" w:lastColumn="0" w:lastRow="0" w:noHBand="0" w:noVBand="1" w:val="04A0"/>
      </w:tblPr>
      <w:tblGrid>
        <w:gridCol w:w="3485"/>
        <w:gridCol w:w="3485"/>
        <w:gridCol w:w="3485"/>
      </w:tblGrid>
      <w:tr>
        <w:trPr>
          <w:tblHeader w:val="true"/>
        </w:trPr>
        <w:tc>
          <w:tcPr>
            <w:tcW w:type="dxa" w:w="1080"/>
            <w:shd w:fill="123426"/>
            <w:vAlign w:val="center"/>
            <w:tcMar>
              <w:top w:w="90" w:type="dxa"/>
              <w:start w:w="110" w:type="dxa"/>
              <w:bottom w:w="90" w:type="dxa"/>
              <w:end w:w="110" w:type="dxa"/>
            </w:tcMar>
          </w:tcPr>
          <w:p>
            <w:pPr>
              <w:spacing w:after="0"/>
              <w:jc w:val="left"/>
            </w:pPr>
            <w:r/>
            <w:r>
              <w:rPr>
                <w:rFonts w:ascii="Aptos" w:hAnsi="Aptos"/>
                <w:b/>
                <w:color w:val="F7F3E8"/>
                <w:sz w:val="17"/>
              </w:rPr>
              <w:t>ID</w:t>
            </w:r>
          </w:p>
        </w:tc>
        <w:tc>
          <w:tcPr>
            <w:tcW w:type="dxa" w:w="4536"/>
            <w:shd w:fill="123426"/>
            <w:vAlign w:val="center"/>
            <w:tcMar>
              <w:top w:w="90" w:type="dxa"/>
              <w:start w:w="110" w:type="dxa"/>
              <w:bottom w:w="90" w:type="dxa"/>
              <w:end w:w="110" w:type="dxa"/>
            </w:tcMar>
          </w:tcPr>
          <w:p>
            <w:pPr>
              <w:spacing w:after="0"/>
              <w:jc w:val="left"/>
            </w:pPr>
            <w:r/>
            <w:r>
              <w:rPr>
                <w:rFonts w:ascii="Aptos" w:hAnsi="Aptos"/>
                <w:b/>
                <w:color w:val="F7F3E8"/>
                <w:sz w:val="17"/>
              </w:rPr>
              <w:t>Finding supplied in the case</w:t>
            </w:r>
          </w:p>
        </w:tc>
        <w:tc>
          <w:tcPr>
            <w:tcW w:type="dxa" w:w="4536"/>
            <w:shd w:fill="123426"/>
            <w:vAlign w:val="center"/>
            <w:tcMar>
              <w:top w:w="90" w:type="dxa"/>
              <w:start w:w="110" w:type="dxa"/>
              <w:bottom w:w="90" w:type="dxa"/>
              <w:end w:w="110" w:type="dxa"/>
            </w:tcMar>
          </w:tcPr>
          <w:p>
            <w:pPr>
              <w:spacing w:after="0"/>
              <w:jc w:val="left"/>
            </w:pPr>
            <w:r/>
            <w:r>
              <w:rPr>
                <w:rFonts w:ascii="Aptos" w:hAnsi="Aptos"/>
                <w:b/>
                <w:color w:val="F7F3E8"/>
                <w:sz w:val="17"/>
              </w:rPr>
              <w:t>Why it matters</w:t>
            </w:r>
          </w:p>
        </w:tc>
      </w:tr>
      <w:tr>
        <w:tc>
          <w:tcPr>
            <w:tcW w:type="dxa" w:w="3485"/>
            <w:shd w:fill="E9F4ED"/>
            <w:vAlign w:val="center"/>
            <w:tcMar>
              <w:top w:w="90" w:type="dxa"/>
              <w:start w:w="110" w:type="dxa"/>
              <w:bottom w:w="90" w:type="dxa"/>
              <w:end w:w="110" w:type="dxa"/>
            </w:tcMar>
          </w:tcPr>
          <w:p>
            <w:pPr>
              <w:spacing w:after="0"/>
              <w:jc w:val="left"/>
            </w:pPr>
            <w:r/>
            <w:r>
              <w:rPr>
                <w:rFonts w:ascii="Aptos" w:hAnsi="Aptos"/>
                <w:b/>
                <w:color w:val="2FD27A"/>
                <w:sz w:val="17"/>
              </w:rPr>
              <w:t>D15-E1</w:t>
            </w:r>
          </w:p>
        </w:tc>
        <w:tc>
          <w:tcPr>
            <w:tcW w:type="dxa" w:w="3485"/>
            <w:shd w:fill="E9F4ED"/>
            <w:vAlign w:val="center"/>
            <w:tcMar>
              <w:top w:w="90" w:type="dxa"/>
              <w:start w:w="110" w:type="dxa"/>
              <w:bottom w:w="90" w:type="dxa"/>
              <w:end w:w="110" w:type="dxa"/>
            </w:tcMar>
          </w:tcPr>
          <w:p>
            <w:pPr>
              <w:spacing w:after="0"/>
              <w:jc w:val="left"/>
            </w:pPr>
            <w:r/>
            <w:r>
              <w:rPr>
                <w:rFonts w:ascii="Aptos" w:hAnsi="Aptos"/>
                <w:b w:val="0"/>
                <w:color w:val="06140F"/>
                <w:sz w:val="17"/>
              </w:rPr>
              <w:t>Mateo's weight dropped during the first feeding week but rose steadily after the assisted-feeding plan began.</w:t>
            </w:r>
          </w:p>
        </w:tc>
        <w:tc>
          <w:tcPr>
            <w:tcW w:type="dxa" w:w="3485"/>
            <w:shd w:fill="E9F4ED"/>
            <w:vAlign w:val="center"/>
            <w:tcMar>
              <w:top w:w="90" w:type="dxa"/>
              <w:start w:w="110" w:type="dxa"/>
              <w:bottom w:w="90" w:type="dxa"/>
              <w:end w:w="110" w:type="dxa"/>
            </w:tcMar>
          </w:tcPr>
          <w:p>
            <w:pPr>
              <w:spacing w:after="0"/>
              <w:jc w:val="left"/>
            </w:pPr>
            <w:r/>
            <w:r>
              <w:rPr>
                <w:rFonts w:ascii="Aptos" w:hAnsi="Aptos"/>
                <w:b w:val="0"/>
                <w:color w:val="06140F"/>
                <w:sz w:val="17"/>
              </w:rPr>
              <w:t>The intervention appears to improve intake.</w:t>
            </w:r>
          </w:p>
        </w:tc>
      </w:tr>
      <w:tr>
        <w:tc>
          <w:tcPr>
            <w:tcW w:type="dxa" w:w="3485"/>
            <w:shd w:fill="FFFFFF"/>
            <w:vAlign w:val="center"/>
            <w:tcMar>
              <w:top w:w="90" w:type="dxa"/>
              <w:start w:w="110" w:type="dxa"/>
              <w:bottom w:w="90" w:type="dxa"/>
              <w:end w:w="110" w:type="dxa"/>
            </w:tcMar>
          </w:tcPr>
          <w:p>
            <w:pPr>
              <w:spacing w:after="0"/>
              <w:jc w:val="left"/>
            </w:pPr>
            <w:r/>
            <w:r>
              <w:rPr>
                <w:rFonts w:ascii="Aptos" w:hAnsi="Aptos"/>
                <w:b/>
                <w:color w:val="2FD27A"/>
                <w:sz w:val="17"/>
              </w:rPr>
              <w:t>D15-E2</w:t>
            </w:r>
          </w:p>
        </w:tc>
        <w:tc>
          <w:tcPr>
            <w:tcW w:type="dxa" w:w="3485"/>
            <w:shd w:fill="FFFFFF"/>
            <w:vAlign w:val="center"/>
            <w:tcMar>
              <w:top w:w="90" w:type="dxa"/>
              <w:start w:w="110" w:type="dxa"/>
              <w:bottom w:w="90" w:type="dxa"/>
              <w:end w:w="110" w:type="dxa"/>
            </w:tcMar>
          </w:tcPr>
          <w:p>
            <w:pPr>
              <w:spacing w:after="0"/>
              <w:jc w:val="left"/>
            </w:pPr>
            <w:r/>
            <w:r>
              <w:rPr>
                <w:rFonts w:ascii="Aptos" w:hAnsi="Aptos"/>
                <w:b w:val="0"/>
                <w:color w:val="06140F"/>
                <w:sz w:val="17"/>
              </w:rPr>
              <w:t>Length and head circumference continue along their prior percentile bands.</w:t>
            </w:r>
          </w:p>
        </w:tc>
        <w:tc>
          <w:tcPr>
            <w:tcW w:type="dxa" w:w="3485"/>
            <w:shd w:fill="FFFFFF"/>
            <w:vAlign w:val="center"/>
            <w:tcMar>
              <w:top w:w="90" w:type="dxa"/>
              <w:start w:w="110" w:type="dxa"/>
              <w:bottom w:w="90" w:type="dxa"/>
              <w:end w:w="110" w:type="dxa"/>
            </w:tcMar>
          </w:tcPr>
          <w:p>
            <w:pPr>
              <w:spacing w:after="0"/>
              <w:jc w:val="left"/>
            </w:pPr>
            <w:r/>
            <w:r>
              <w:rPr>
                <w:rFonts w:ascii="Aptos" w:hAnsi="Aptos"/>
                <w:b w:val="0"/>
                <w:color w:val="06140F"/>
                <w:sz w:val="17"/>
              </w:rPr>
              <w:t>Overall physical growth remains proportionate.</w:t>
            </w:r>
          </w:p>
        </w:tc>
      </w:tr>
      <w:tr>
        <w:tc>
          <w:tcPr>
            <w:tcW w:type="dxa" w:w="3485"/>
            <w:shd w:fill="E9F4ED"/>
            <w:vAlign w:val="center"/>
            <w:tcMar>
              <w:top w:w="90" w:type="dxa"/>
              <w:start w:w="110" w:type="dxa"/>
              <w:bottom w:w="90" w:type="dxa"/>
              <w:end w:w="110" w:type="dxa"/>
            </w:tcMar>
          </w:tcPr>
          <w:p>
            <w:pPr>
              <w:spacing w:after="0"/>
              <w:jc w:val="left"/>
            </w:pPr>
            <w:r/>
            <w:r>
              <w:rPr>
                <w:rFonts w:ascii="Aptos" w:hAnsi="Aptos"/>
                <w:b/>
                <w:color w:val="2FD27A"/>
                <w:sz w:val="17"/>
              </w:rPr>
              <w:t>D15-E3</w:t>
            </w:r>
          </w:p>
        </w:tc>
        <w:tc>
          <w:tcPr>
            <w:tcW w:type="dxa" w:w="3485"/>
            <w:shd w:fill="E9F4ED"/>
            <w:vAlign w:val="center"/>
            <w:tcMar>
              <w:top w:w="90" w:type="dxa"/>
              <w:start w:w="110" w:type="dxa"/>
              <w:bottom w:w="90" w:type="dxa"/>
              <w:end w:w="110" w:type="dxa"/>
            </w:tcMar>
          </w:tcPr>
          <w:p>
            <w:pPr>
              <w:spacing w:after="0"/>
              <w:jc w:val="left"/>
            </w:pPr>
            <w:r/>
            <w:r>
              <w:rPr>
                <w:rFonts w:ascii="Aptos" w:hAnsi="Aptos"/>
                <w:b w:val="0"/>
                <w:color w:val="06140F"/>
                <w:sz w:val="17"/>
              </w:rPr>
              <w:t>Motor, language, and social milestones are appropriate for the visit.</w:t>
            </w:r>
          </w:p>
        </w:tc>
        <w:tc>
          <w:tcPr>
            <w:tcW w:type="dxa" w:w="3485"/>
            <w:shd w:fill="E9F4ED"/>
            <w:vAlign w:val="center"/>
            <w:tcMar>
              <w:top w:w="90" w:type="dxa"/>
              <w:start w:w="110" w:type="dxa"/>
              <w:bottom w:w="90" w:type="dxa"/>
              <w:end w:w="110" w:type="dxa"/>
            </w:tcMar>
          </w:tcPr>
          <w:p>
            <w:pPr>
              <w:spacing w:after="0"/>
              <w:jc w:val="left"/>
            </w:pPr>
            <w:r/>
            <w:r>
              <w:rPr>
                <w:rFonts w:ascii="Aptos" w:hAnsi="Aptos"/>
                <w:b w:val="0"/>
                <w:color w:val="06140F"/>
                <w:sz w:val="17"/>
              </w:rPr>
              <w:t>Developmental progress supports continued monitoring rather than an emergency conclusion.</w:t>
            </w:r>
          </w:p>
        </w:tc>
      </w:tr>
    </w:tbl>
    <w:p>
      <w:pPr>
        <w:pStyle w:val="Heading1"/>
      </w:pPr>
      <w:r>
        <w:t>5. Make the clinical decision</w:t>
      </w:r>
    </w:p>
    <w:p>
      <w:r>
        <w:rPr>
          <w:b/>
        </w:rPr>
        <w:t xml:space="preserve">You are the pediatrician reviewing the longitudinal record. </w:t>
      </w:r>
      <w:r>
        <w:t>You must decide whether to admit Mateo for urgent growth failure or continue the current plan with close follow-up.</w:t>
      </w:r>
    </w:p>
    <w:p>
      <w:pPr>
        <w:ind w:left="288"/>
      </w:pPr>
      <w:r>
        <w:rPr>
          <w:b/>
        </w:rPr>
        <w:t xml:space="preserve">A. </w:t>
      </w:r>
      <w:r>
        <w:t>Continue the effective feeding plan with scheduled growth and development checks</w:t>
      </w:r>
    </w:p>
    <w:p>
      <w:pPr>
        <w:ind w:left="288"/>
      </w:pPr>
      <w:r>
        <w:rPr>
          <w:b/>
        </w:rPr>
        <w:t xml:space="preserve">B. </w:t>
      </w:r>
      <w:r>
        <w:t>Base the decision only on the first low weight</w:t>
      </w:r>
    </w:p>
    <w:p>
      <w:pPr>
        <w:ind w:left="288"/>
      </w:pPr>
      <w:r>
        <w:rPr>
          <w:b/>
        </w:rPr>
        <w:t xml:space="preserve">C. </w:t>
      </w:r>
      <w:r>
        <w:t>Ignore all future growth because the latest weight improved</w:t>
      </w:r>
    </w:p>
    <w:p>
      <w:pPr>
        <w:spacing w:after="40"/>
      </w:pPr>
      <w:r>
        <w:rPr>
          <w:b/>
          <w:color w:val="2FD27A"/>
        </w:rPr>
        <w:t xml:space="preserve">Decision. </w:t>
      </w:r>
      <w:r>
        <w:rPr>
          <w:sz w:val="20"/>
        </w:rPr>
        <w:t>Choose the plan and describe the trend across all three evidence IDs.</w:t>
      </w:r>
    </w:p>
    <w:p>
      <w:pPr>
        <w:spacing w:after="20"/>
      </w:pPr>
      <w:r>
        <w:rPr>
          <w:color w:val="B8C9C0"/>
          <w:sz w:val="16"/>
        </w:rPr>
        <w:t>________________________________________________________________________________</w:t>
      </w:r>
    </w:p>
    <w:p>
      <w:pPr>
        <w:spacing w:after="20"/>
      </w:pPr>
      <w:r>
        <w:rPr>
          <w:color w:val="B8C9C0"/>
          <w:sz w:val="16"/>
        </w:rPr>
        <w:t>________________________________________________________________________________</w:t>
      </w:r>
    </w:p>
    <w:p>
      <w:r>
        <w:rPr>
          <w:b/>
          <w:color w:val="F5C542"/>
        </w:rPr>
        <w:t xml:space="preserve">Claim ceiling: </w:t>
      </w:r>
      <w:r>
        <w:t>You may judge the current trend. You may not promise that later growth or facial development will stay normal.</w:t>
      </w:r>
    </w:p>
    <w:p>
      <w:pPr>
        <w:spacing w:after="40"/>
      </w:pPr>
      <w:r>
        <w:rPr>
          <w:b/>
          <w:color w:val="2FD27A"/>
        </w:rPr>
        <w:t xml:space="preserve">Claim. </w:t>
      </w:r>
      <w:r>
        <w:rPr>
          <w:sz w:val="20"/>
        </w:rPr>
        <w:t>State the choice you can defend.</w:t>
      </w:r>
    </w:p>
    <w:p>
      <w:pPr>
        <w:spacing w:after="20"/>
      </w:pPr>
      <w:r>
        <w:rPr>
          <w:color w:val="B8C9C0"/>
          <w:sz w:val="16"/>
        </w:rPr>
        <w:t>________________________________________________________________________________</w:t>
      </w:r>
    </w:p>
    <w:p>
      <w:pPr>
        <w:spacing w:after="40"/>
      </w:pPr>
      <w:r>
        <w:rPr>
          <w:b/>
          <w:color w:val="2FD27A"/>
        </w:rPr>
        <w:t xml:space="preserve">Evidence. </w:t>
      </w:r>
      <w:r>
        <w:rPr>
          <w:sz w:val="20"/>
        </w:rPr>
        <w:t>Use these labeled IDs: D15-E1 + D15-E2 + D15-E3.</w:t>
      </w:r>
    </w:p>
    <w:p>
      <w:pPr>
        <w:spacing w:after="20"/>
      </w:pPr>
      <w:r>
        <w:rPr>
          <w:color w:val="B8C9C0"/>
          <w:sz w:val="16"/>
        </w:rPr>
        <w:t>________________________________________________________________________________</w:t>
      </w:r>
    </w:p>
    <w:p>
      <w:pPr>
        <w:spacing w:after="40"/>
      </w:pPr>
      <w:r>
        <w:rPr>
          <w:b/>
          <w:color w:val="2FD27A"/>
        </w:rPr>
        <w:t xml:space="preserve">Reasoning. </w:t>
      </w:r>
      <w:r>
        <w:rPr>
          <w:sz w:val="20"/>
        </w:rPr>
        <w:t>Explain why the evidence supports the claim and stays inside the claim ceiling.</w:t>
      </w:r>
    </w:p>
    <w:p>
      <w:pPr>
        <w:spacing w:after="20"/>
      </w:pPr>
      <w:r>
        <w:rPr>
          <w:color w:val="B8C9C0"/>
          <w:sz w:val="16"/>
        </w:rPr>
        <w:t>________________________________________________________________________________</w:t>
      </w:r>
    </w:p>
    <w:p>
      <w:pPr>
        <w:spacing w:after="20"/>
      </w:pPr>
      <w:r>
        <w:rPr>
          <w:color w:val="B8C9C0"/>
          <w:sz w:val="16"/>
        </w:rPr>
        <w:t>________________________________________________________________________________</w:t>
      </w:r>
    </w:p>
    <w:p>
      <w:r>
        <w:br w:type="page"/>
      </w:r>
    </w:p>
    <w:p>
      <w:pPr>
        <w:spacing w:after="60"/>
      </w:pPr>
      <w:r>
        <w:rPr>
          <w:rFonts w:ascii="Aptos" w:hAnsi="Aptos"/>
          <w:b/>
          <w:color w:val="2FD27A"/>
          <w:sz w:val="16"/>
        </w:rPr>
        <w:t>DISEASE LESSON 15 | REDUCE, REFLECT, AND PREPARE</w:t>
      </w:r>
    </w:p>
    <w:tbl>
      <w:tblPr>
        <w:tblW w:type="auto" w:w="0"/>
        <w:jc w:val="center"/>
        <w:tblLayout w:type="fixed"/>
        <w:tblLook w:firstColumn="1" w:firstRow="1" w:lastColumn="0" w:lastRow="0" w:noHBand="0" w:noVBand="1" w:val="04A0"/>
      </w:tblPr>
      <w:tblGrid>
        <w:gridCol w:w="10339"/>
      </w:tblGrid>
      <w:tr>
        <w:tc>
          <w:tcPr>
            <w:tcW w:type="dxa" w:w="10454"/>
            <w:shd w:fill="2FD27A"/>
            <w:vAlign w:val="center"/>
            <w:tcMar>
              <w:top w:w="90" w:type="dxa"/>
              <w:start w:w="110" w:type="dxa"/>
              <w:bottom w:w="90" w:type="dxa"/>
              <w:end w:w="110" w:type="dxa"/>
            </w:tcMar>
          </w:tcPr>
          <w:p>
            <w:pPr>
              <w:spacing w:after="0"/>
              <w:jc w:val="left"/>
            </w:pPr>
            <w:r/>
            <w:r>
              <w:rPr>
                <w:rFonts w:ascii="Aptos" w:hAnsi="Aptos"/>
                <w:b/>
                <w:color w:val="F7F3E8"/>
                <w:sz w:val="20"/>
              </w:rPr>
              <w:t>6. Reduce the lesson to one lasting idea</w:t>
            </w:r>
          </w:p>
        </w:tc>
      </w:tr>
    </w:tbl>
    <w:p>
      <w:pPr>
        <w:spacing w:after="0"/>
      </w:pPr>
    </w:p>
    <w:p>
      <w:pPr>
        <w:spacing w:after="40"/>
      </w:pPr>
      <w:r>
        <w:rPr>
          <w:b/>
          <w:color w:val="2FD27A"/>
        </w:rPr>
        <w:t xml:space="preserve">Take-home. </w:t>
      </w:r>
      <w:r>
        <w:rPr>
          <w:sz w:val="20"/>
        </w:rPr>
        <w:t>Growth decisions come from trends across time, not one measurement on one day.</w:t>
      </w:r>
    </w:p>
    <w:p>
      <w:pPr>
        <w:spacing w:after="20"/>
      </w:pPr>
      <w:r>
        <w:rPr>
          <w:color w:val="B8C9C0"/>
          <w:sz w:val="16"/>
        </w:rPr>
        <w:t>________________________________________________________________________________</w:t>
      </w:r>
    </w:p>
    <w:p>
      <w:pPr>
        <w:spacing w:after="20"/>
      </w:pPr>
      <w:r>
        <w:rPr>
          <w:color w:val="B8C9C0"/>
          <w:sz w:val="16"/>
        </w:rPr>
        <w:t>________________________________________________________________________________</w:t>
      </w:r>
    </w:p>
    <w:p>
      <w:pPr>
        <w:spacing w:after="40"/>
      </w:pPr>
      <w:r>
        <w:rPr>
          <w:b/>
          <w:color w:val="2FD27A"/>
        </w:rPr>
        <w:t xml:space="preserve">1. </w:t>
      </w:r>
      <w:r>
        <w:rPr>
          <w:sz w:val="20"/>
        </w:rPr>
        <w:t>Why is Mateo's first low weight not enough for today's decision?</w:t>
      </w:r>
    </w:p>
    <w:p>
      <w:pPr>
        <w:spacing w:after="20"/>
      </w:pPr>
      <w:r>
        <w:rPr>
          <w:color w:val="B8C9C0"/>
          <w:sz w:val="16"/>
        </w:rPr>
        <w:t>________________________________________________________________________________</w:t>
      </w:r>
    </w:p>
    <w:p>
      <w:pPr>
        <w:spacing w:after="40"/>
      </w:pPr>
      <w:r>
        <w:rPr>
          <w:b/>
          <w:color w:val="2FD27A"/>
        </w:rPr>
        <w:t xml:space="preserve">2. </w:t>
      </w:r>
      <w:r>
        <w:rPr>
          <w:sz w:val="20"/>
        </w:rPr>
        <w:t>What additional trends help show whole-child development?</w:t>
      </w:r>
    </w:p>
    <w:p>
      <w:pPr>
        <w:spacing w:after="20"/>
      </w:pPr>
      <w:r>
        <w:rPr>
          <w:color w:val="B8C9C0"/>
          <w:sz w:val="16"/>
        </w:rPr>
        <w:t>________________________________________________________________________________</w:t>
      </w:r>
    </w:p>
    <w:p>
      <w:pPr>
        <w:pStyle w:val="Heading1"/>
      </w:pPr>
      <w:r>
        <w:t>Glossary</w:t>
      </w:r>
    </w:p>
    <w:tbl>
      <w:tblPr>
        <w:tblStyle w:val="TableGrid"/>
        <w:tblW w:type="auto" w:w="0"/>
        <w:jc w:val="center"/>
        <w:tblLayout w:type="fixed"/>
        <w:tblLook w:firstColumn="1" w:firstRow="1" w:lastColumn="0" w:lastRow="0" w:noHBand="0" w:noVBand="1" w:val="04A0"/>
      </w:tblPr>
      <w:tblGrid>
        <w:gridCol w:w="5227"/>
        <w:gridCol w:w="5227"/>
      </w:tblGrid>
      <w:tr>
        <w:trPr>
          <w:tblHeader w:val="true"/>
        </w:trPr>
        <w:tc>
          <w:tcPr>
            <w:tcW w:type="dxa" w:w="2880"/>
            <w:shd w:fill="123426"/>
            <w:vAlign w:val="center"/>
            <w:tcMar>
              <w:top w:w="90" w:type="dxa"/>
              <w:start w:w="110" w:type="dxa"/>
              <w:bottom w:w="90" w:type="dxa"/>
              <w:end w:w="110" w:type="dxa"/>
            </w:tcMar>
          </w:tcPr>
          <w:p>
            <w:pPr>
              <w:spacing w:after="0"/>
              <w:jc w:val="left"/>
            </w:pPr>
            <w:r/>
            <w:r>
              <w:rPr>
                <w:rFonts w:ascii="Aptos" w:hAnsi="Aptos"/>
                <w:b/>
                <w:color w:val="F7F3E8"/>
                <w:sz w:val="17"/>
              </w:rPr>
              <w:t>Term</w:t>
            </w:r>
          </w:p>
        </w:tc>
        <w:tc>
          <w:tcPr>
            <w:tcW w:type="dxa" w:w="7272"/>
            <w:shd w:fill="123426"/>
            <w:vAlign w:val="center"/>
            <w:tcMar>
              <w:top w:w="90" w:type="dxa"/>
              <w:start w:w="110" w:type="dxa"/>
              <w:bottom w:w="90" w:type="dxa"/>
              <w:end w:w="110" w:type="dxa"/>
            </w:tcMar>
          </w:tcPr>
          <w:p>
            <w:pPr>
              <w:spacing w:after="0"/>
              <w:jc w:val="left"/>
            </w:pPr>
            <w:r/>
            <w:r>
              <w:rPr>
                <w:rFonts w:ascii="Aptos" w:hAnsi="Aptos"/>
                <w:b/>
                <w:color w:val="F7F3E8"/>
                <w:sz w:val="17"/>
              </w:rPr>
              <w:t>Plain-English definition</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failure to thrive</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Poor weight gain and growth in an infant or child, often because feeding is difficult or nutrition is not absorbed well.</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growth chart (percentile)</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A standard chart that compares a child's height, weight, or head size to other children of the same age and sex using percentiles.</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developmental milestone</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A skill most children reach by a certain age, such as sitting, speaking words, or walking, used to track healthy growth.</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midface growth</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The forward and downward development of the central face, including the upper jaw and cheeks, which surgery and clefting can affect.</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longitudinal monitoring</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Following the same patients with repeated check-ups over months or years to track how their condition or treatment changes over time.</w:t>
            </w:r>
          </w:p>
        </w:tc>
      </w:tr>
    </w:tbl>
    <w:p>
      <w:pPr>
        <w:pStyle w:val="Heading1"/>
      </w:pPr>
      <w:r>
        <w:t>Next lesson unlock</w:t>
      </w:r>
    </w:p>
    <w:p>
      <w:pPr>
        <w:spacing w:after="100"/>
      </w:pPr>
      <w:r>
        <w:t>We answered how the team keeps Mateo growing and developing well. His body and growth are well cared for. But a child is more than a body. Mateo and his parents face stares, worry, the stress of many appointments, and questions about how he will feel about himself. How do we support Mateo and his family beyond the body?</w:t>
      </w:r>
    </w:p>
    <w:p>
      <w:r>
        <w:rPr>
          <w:i/>
          <w:color w:val="5C6F65"/>
        </w:rPr>
        <w:t>The journal links on the lesson page are optional. Everything required for this guided-notes set is already supplied here and in the case file.</w:t>
      </w:r>
    </w:p>
    <w:sectPr w:rsidR="00FC693F" w:rsidRPr="0006063C" w:rsidSect="00034616">
      <w:headerReference w:type="default" r:id="rId9"/>
      <w:footerReference w:type="default" r:id="rId10"/>
      <w:pgSz w:w="12240" w:h="15840"/>
      <w:pgMar w:top="835" w:right="893" w:bottom="792" w:left="893" w:header="360" w:footer="36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right"/>
    </w:pPr>
    <w:r>
      <w:rPr>
        <w:rFonts w:ascii="Aptos" w:hAnsi="Aptos"/>
        <w:color w:val="5C6F65"/>
        <w:sz w:val="16"/>
      </w:rPr>
      <w:t xml:space="preserve">Page </w:t>
    </w:r>
    <w:fldSimple w:instr="PAGE"/>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spacing w:after="0"/>
      <w:jc w:val="left"/>
    </w:pPr>
    <w:r>
      <w:rPr>
        <w:rFonts w:ascii="Aptos" w:hAnsi="Aptos"/>
        <w:b/>
        <w:color w:val="2FD27A"/>
        <w:sz w:val="16"/>
      </w:rPr>
      <w:t>JOHN HAY BIOMEDICAL  |  THE BABY MATEO CASE</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00" w:line="259" w:lineRule="auto"/>
    </w:pPr>
    <w:rPr>
      <w:rFonts w:ascii="Aptos" w:hAnsi="Aptos"/>
      <w:color w:val="06140F"/>
      <w:sz w:val="20"/>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120" w:after="100"/>
      <w:outlineLvl w:val="0"/>
    </w:pPr>
    <w:rPr>
      <w:rFonts w:asciiTheme="majorHAnsi" w:eastAsiaTheme="majorEastAsia" w:hAnsiTheme="majorHAnsi" w:cstheme="majorBidi" w:ascii="Aptos Display" w:hAnsi="Aptos Display"/>
      <w:b/>
      <w:bCs/>
      <w:color w:val="06140F"/>
      <w:sz w:val="38"/>
      <w:szCs w:val="28"/>
    </w:rPr>
  </w:style>
  <w:style w:type="paragraph" w:styleId="Heading2">
    <w:name w:val="heading 2"/>
    <w:basedOn w:val="Normal"/>
    <w:next w:val="Normal"/>
    <w:link w:val="Heading2Char"/>
    <w:uiPriority w:val="9"/>
    <w:unhideWhenUsed/>
    <w:qFormat/>
    <w:rsid w:val="00FC693F"/>
    <w:pPr>
      <w:keepNext/>
      <w:keepLines/>
      <w:spacing w:before="120" w:after="100"/>
      <w:outlineLvl w:val="1"/>
    </w:pPr>
    <w:rPr>
      <w:rFonts w:asciiTheme="majorHAnsi" w:eastAsiaTheme="majorEastAsia" w:hAnsiTheme="majorHAnsi" w:cstheme="majorBidi" w:ascii="Aptos Display" w:hAnsi="Aptos Display"/>
      <w:b/>
      <w:bCs/>
      <w:color w:val="123426"/>
      <w:sz w:val="26"/>
      <w:szCs w:val="26"/>
    </w:rPr>
  </w:style>
  <w:style w:type="paragraph" w:styleId="Heading3">
    <w:name w:val="heading 3"/>
    <w:basedOn w:val="Normal"/>
    <w:next w:val="Normal"/>
    <w:link w:val="Heading3Char"/>
    <w:uiPriority w:val="9"/>
    <w:unhideWhenUsed/>
    <w:qFormat/>
    <w:rsid w:val="00FC693F"/>
    <w:pPr>
      <w:keepNext/>
      <w:keepLines/>
      <w:spacing w:before="120" w:after="100"/>
      <w:outlineLvl w:val="2"/>
    </w:pPr>
    <w:rPr>
      <w:rFonts w:asciiTheme="majorHAnsi" w:eastAsiaTheme="majorEastAsia" w:hAnsiTheme="majorHAnsi" w:cstheme="majorBidi" w:ascii="Aptos Display" w:hAnsi="Aptos Display"/>
      <w:b/>
      <w:bCs/>
      <w:color w:val="2FD27A"/>
      <w:sz w:val="20"/>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100" w:line="240" w:lineRule="auto" w:before="120"/>
      <w:contextualSpacing/>
    </w:pPr>
    <w:rPr>
      <w:rFonts w:asciiTheme="majorHAnsi" w:eastAsiaTheme="majorEastAsia" w:hAnsiTheme="majorHAnsi" w:cstheme="majorBidi" w:ascii="Aptos Display" w:hAnsi="Aptos Display"/>
      <w:b/>
      <w:color w:val="06140F"/>
      <w:spacing w:val="5"/>
      <w:kern w:val="28"/>
      <w:sz w:val="5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image" Target="media/image1.jpg"/><Relationship Id="rId12"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Disease Lesson 15: Guided Notes</dc:title>
  <dc:subject>Socratic guided notes aligned to the lesson deck</dc:subject>
  <dc:creator>John Hay Biomedical</dc:creator>
  <cp:keywords/>
  <dc:description>generated by python-docx</dc:description>
  <cp:lastModifiedBy/>
  <cp:revision>1</cp:revision>
  <dcterms:created xsi:type="dcterms:W3CDTF">2013-12-23T23:15:00Z</dcterms:created>
  <dcterms:modified xsi:type="dcterms:W3CDTF">2013-12-23T23:15:00Z</dcterms:modified>
  <cp:category/>
</cp:coreProperties>
</file>