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DEVELOPMENTAL DOMAIN | LESSON 17 OF 20 | EPIGENETICIST</w:t>
      </w:r>
    </w:p>
    <w:p>
      <w:pPr>
        <w:pStyle w:val="Title"/>
        <w:spacing w:after="80"/>
      </w:pPr>
      <w:r>
        <w:t>Same DNA, Different Outcome</w:t>
      </w:r>
    </w:p>
    <w:p>
      <w:pPr>
        <w:spacing w:after="200"/>
      </w:pPr>
      <w:r>
        <w:rPr>
          <w:rFonts w:ascii="Aptos" w:hAnsi="Aptos"/>
          <w:color w:val="5C6F65"/>
          <w:sz w:val="22"/>
        </w:rPr>
        <w:t>How can identical DNA give two different outcomes, a fused palate or a cleft?</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An environmental factor changes risk only when evidence links dose, timing, and mechanism, and risk is not destiny.</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The same DNA can produce different outcomes because gene activity and developmental context can differ.</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The same music score can sound different under different controls</w:t>
      </w:r>
    </w:p>
    <w:p>
      <w:pPr>
        <w:spacing w:after="40"/>
      </w:pPr>
      <w:r>
        <w:rPr>
          <w:b/>
          <w:color w:val="2FD27A"/>
        </w:rPr>
        <w:t xml:space="preserve">1. </w:t>
      </w:r>
      <w:r>
        <w:rPr>
          <w:sz w:val="20"/>
        </w:rPr>
        <w:t>What stays the same in both performances?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controls change how the score is used?</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does a changed performance not mean the notes were rewritten?</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17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DNA sequence and gene activity are not identical.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Regulators can change when or how strongly genes act.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Variable outcomes can reflect multiple interacting hits.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Gene regulation is a molecular network, not a musical interpretation.</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Separate DNA sequence from epigenetic regulation</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Written score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DNA sequence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Volume marks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DNA methylation and chromatin regulation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Conductor timing</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MicroRNA and other post-transcriptional control</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DEVELOPMENTAL LESSON 17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DEV17-E1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DNA methylation can change gene activity without changing the DNA letters.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Sequence and regulation are separate layers.</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DEV17-E2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MicroRNAs can reduce how much protein is made from target messages.</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Post-transcriptional regulation can alter pathway output.</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DEV17-E3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Cleft penetrance can vary among people with similar genetic susceptibility.</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susceptibility variant does not force one outcome.</w:t>
            </w:r>
          </w:p>
        </w:tc>
      </w:tr>
    </w:tbl>
    <w:p>
      <w:pPr>
        <w:pStyle w:val="Heading1"/>
      </w:pPr>
      <w:r>
        <w:t>5. Make the clinical decision</w:t>
      </w:r>
    </w:p>
    <w:p>
      <w:r>
        <w:rPr>
          <w:b/>
        </w:rPr>
        <w:t xml:space="preserve">You are comparing two siblings in a research model. </w:t>
      </w:r>
      <w:r>
        <w:t>Both carry the same susceptibility variant, but only one has a cleft. Their methylation profiles differ at developmental genes.</w:t>
      </w:r>
    </w:p>
    <w:p>
      <w:pPr>
        <w:ind w:left="288"/>
      </w:pPr>
      <w:r>
        <w:rPr>
          <w:b/>
        </w:rPr>
        <w:t xml:space="preserve">A. </w:t>
      </w:r>
      <w:r>
        <w:t>Propose regulation as one testable modifier while keeping other factors open.</w:t>
      </w:r>
    </w:p>
    <w:p>
      <w:pPr>
        <w:ind w:left="288"/>
      </w:pPr>
      <w:r>
        <w:rPr>
          <w:b/>
        </w:rPr>
        <w:t xml:space="preserve">B. </w:t>
      </w:r>
      <w:r>
        <w:t>Claim the methylation profile proves the only cause.</w:t>
      </w:r>
    </w:p>
    <w:p>
      <w:pPr>
        <w:ind w:left="288"/>
      </w:pPr>
      <w:r>
        <w:rPr>
          <w:b/>
        </w:rPr>
        <w:t xml:space="preserve">C. </w:t>
      </w:r>
      <w:r>
        <w:t>Claim identical variants must always produce identical anatomy.</w:t>
      </w:r>
    </w:p>
    <w:p>
      <w:pPr>
        <w:spacing w:after="40"/>
      </w:pPr>
      <w:r>
        <w:rPr>
          <w:b/>
          <w:color w:val="2FD27A"/>
        </w:rPr>
        <w:t xml:space="preserve">Decision. </w:t>
      </w:r>
      <w:r>
        <w:rPr>
          <w:sz w:val="20"/>
        </w:rPr>
        <w:t>Choose the testable explanation and cite sequence-versus-regulation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propose an epigenetic modifier. You may not convert an association into a single proven cause.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DEV17-E1 + DEV17-E2.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17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The same DNA can produce different outcomes because gene activity and developmental context can differ.</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can change without changing DNA letters?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does a methylation difference not automatically prove cause?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epigenetics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study of chemical tags on DNA and its packaging that switch genes on or off without changing the underlying DNA sequence itself.</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DNA methylation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chemical tag added to DNA that can quiet a gene without changing its underlying sequence.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microRNA</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tiny RNA molecule that fine-tunes gene activity by binding messenger RNA and blocking it from being made into protein.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second hit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second damaging change needed on top of an inherited one before a trait or disease appears, explaining why some carriers stay healthy.</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penetrance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fraction of people carrying a disease-linked genotype who actually show the trait.</w:t>
            </w:r>
          </w:p>
        </w:tc>
      </w:tr>
    </w:tbl>
    <w:p>
      <w:pPr>
        <w:pStyle w:val="Heading1"/>
      </w:pPr>
      <w:r>
        <w:t>Next lesson unlock</w:t>
      </w:r>
    </w:p>
    <w:p>
      <w:pPr>
        <w:spacing w:after="100"/>
      </w:pPr>
      <w:r>
        <w:t>Epigenetic marks and tiny RNAs let identical DNA give different outcomes, and isolated clefting behaves like an additive, multifactorial trait. But we just reasoned from human DNA, mouse palates, and zebrafish cartilage at once. How do scientists actually watch development happen?</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Lesson 17: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