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60"/>
      </w:pPr>
      <w:r>
        <w:rPr>
          <w:rFonts w:ascii="Aptos" w:hAnsi="Aptos"/>
          <w:b/>
          <w:color w:val="2FD27A"/>
          <w:sz w:val="16"/>
        </w:rPr>
        <w:t>DEVELOPMENTAL DOMAIN | LESSON 16 OF 20 | TERATOLOGY LIAISON</w:t>
      </w:r>
    </w:p>
    <w:p>
      <w:pPr>
        <w:pStyle w:val="Title"/>
        <w:spacing w:after="80"/>
      </w:pPr>
      <w:r>
        <w:t>When the Outside World Reaches the Embryo</w:t>
      </w:r>
    </w:p>
    <w:p>
      <w:pPr>
        <w:spacing w:after="200"/>
      </w:pPr>
      <w:r>
        <w:rPr>
          <w:rFonts w:ascii="Aptos" w:hAnsi="Aptos"/>
          <w:color w:val="5C6F65"/>
          <w:sz w:val="22"/>
        </w:rPr>
        <w:t>Can the outside world change how the face forms, and if so, how strongly?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227"/>
        <w:gridCol w:w="5227"/>
      </w:tblGrid>
      <w:tr>
        <w:tc>
          <w:tcPr>
            <w:tcW w:type="dxa" w:w="5054"/>
            <w:shd w:fill="E9F4ED"/>
            <w:tcMar>
              <w:top w:w="130" w:type="dxa"/>
              <w:start w:w="145" w:type="dxa"/>
              <w:bottom w:w="130" w:type="dxa"/>
              <w:end w:w="145" w:type="dxa"/>
            </w:tcMar>
          </w:tcPr>
          <w:p>
            <w:pPr>
              <w:spacing w:after="60"/>
            </w:pPr>
            <w:r/>
            <w:r>
              <w:rPr>
                <w:rFonts w:ascii="Aptos" w:hAnsi="Aptos"/>
                <w:b/>
                <w:color w:val="2FD27A"/>
                <w:sz w:val="16"/>
              </w:rPr>
              <w:t>CARRY FORWARD</w:t>
            </w:r>
          </w:p>
          <w:p>
            <w:pPr>
              <w:spacing w:after="0"/>
            </w:pPr>
            <w:r>
              <w:rPr>
                <w:rFonts w:ascii="Aptos" w:hAnsi="Aptos"/>
                <w:b/>
                <w:color w:val="06140F"/>
                <w:sz w:val="20"/>
              </w:rPr>
              <w:t>A developmental risk matters most when it acts during the short window for the process it can disrupt.</w:t>
            </w:r>
          </w:p>
        </w:tc>
        <w:tc>
          <w:tcPr>
            <w:tcW w:type="dxa" w:w="5054"/>
            <w:shd w:fill="FFF7D5"/>
            <w:tcMar>
              <w:top w:w="130" w:type="dxa"/>
              <w:start w:w="145" w:type="dxa"/>
              <w:bottom w:w="130" w:type="dxa"/>
              <w:end w:w="145" w:type="dxa"/>
            </w:tcMar>
          </w:tcPr>
          <w:p>
            <w:pPr>
              <w:spacing w:after="60"/>
            </w:pPr>
            <w:r/>
            <w:r>
              <w:rPr>
                <w:rFonts w:ascii="Aptos" w:hAnsi="Aptos"/>
                <w:b/>
                <w:color w:val="8A6B00"/>
                <w:sz w:val="16"/>
              </w:rPr>
              <w:t>10-YEAR TAKEAWAY</w:t>
            </w:r>
          </w:p>
          <w:p>
            <w:pPr>
              <w:spacing w:after="0"/>
            </w:pPr>
            <w:r>
              <w:rPr>
                <w:rFonts w:ascii="Aptos" w:hAnsi="Aptos"/>
                <w:b/>
                <w:color w:val="06140F"/>
                <w:sz w:val="20"/>
              </w:rPr>
              <w:t>An environmental factor changes risk only when evidence links dose, timing, and mechanism, and risk is not destiny.</w:t>
            </w:r>
          </w:p>
        </w:tc>
      </w:tr>
    </w:tbl>
    <w:p/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613"/>
        <w:gridCol w:w="2613"/>
        <w:gridCol w:w="2613"/>
        <w:gridCol w:w="2613"/>
      </w:tblGrid>
      <w:tr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Cells differentiate</w:t>
            </w:r>
          </w:p>
        </w:tc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Development sculpts</w:t>
            </w:r>
          </w:p>
        </w:tc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Cells move</w:t>
            </w:r>
          </w:p>
        </w:tc>
        <w:tc>
          <w:tcPr>
            <w:tcW w:type="dxa" w:w="2613"/>
            <w:shd w:fill="2FD27A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Development can go wrong</w:t>
            </w:r>
          </w:p>
        </w:tc>
      </w:tr>
    </w:tbl>
    <w:p>
      <w:pPr>
        <w:pStyle w:val="Heading1"/>
      </w:pPr>
      <w:r>
        <w:t>1. Observe the analogy before naming the biology</w:t>
      </w:r>
    </w:p>
    <w:p>
      <w:pPr>
        <w:spacing w:after="40"/>
        <w:jc w:val="center"/>
      </w:pPr>
      <w:r>
        <w:drawing>
          <wp:inline xmlns:a="http://schemas.openxmlformats.org/drawingml/2006/main" xmlns:pic="http://schemas.openxmlformats.org/drawingml/2006/picture">
            <wp:extent cx="3108960" cy="310896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108960" cy="310896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100"/>
        <w:jc w:val="center"/>
      </w:pPr>
      <w:r>
        <w:rPr>
          <w:rFonts w:ascii="Aptos" w:hAnsi="Aptos"/>
          <w:i/>
          <w:color w:val="5C6F65"/>
          <w:sz w:val="15"/>
        </w:rPr>
        <w:t>Illustration: Weather changes the chance of a delayed flight</w:t>
      </w: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Does a storm delay every flight?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Why do timing and severity matter?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3. </w:t>
      </w:r>
      <w:r>
        <w:rPr>
          <w:sz w:val="20"/>
        </w:rPr>
        <w:t>What evidence separates association from a tested mechanism?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DEVELOPMENTAL LESSON 16 | RULES AND BIOLOGY MAPPING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06140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2. Turn observations into rules</w:t>
            </w:r>
          </w:p>
        </w:tc>
      </w:tr>
    </w:tbl>
    <w:p>
      <w:pPr>
        <w:spacing w:after="0"/>
      </w:pP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Rule 1: A risk factor changes probability, not certainty.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Rule 2: Dose and timing shape the effect.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3. </w:t>
      </w:r>
      <w:r>
        <w:rPr>
          <w:sz w:val="20"/>
        </w:rPr>
        <w:t>Rule 3: Association, animal mechanism, and human causation are different evidence levels.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rPr>
          <w:b/>
          <w:color w:val="F5C542"/>
        </w:rPr>
        <w:t xml:space="preserve">Where the analogy stops: </w:t>
      </w:r>
      <w:r>
        <w:t>Embryonic development is not air travel, and personal blame has no place in risk interpretation.</w:t>
      </w:r>
    </w:p>
    <w:p>
      <w:pPr>
        <w:pStyle w:val="Heading1"/>
      </w:pPr>
      <w:r>
        <w:t>3. Map the rules onto the biomedical example</w:t>
      </w:r>
    </w:p>
    <w:p>
      <w:pPr>
        <w:spacing w:after="40"/>
        <w:jc w:val="center"/>
      </w:pPr>
      <w:r>
        <w:drawing>
          <wp:inline xmlns:a="http://schemas.openxmlformats.org/drawingml/2006/main" xmlns:pic="http://schemas.openxmlformats.org/drawingml/2006/picture">
            <wp:extent cx="3063240" cy="3063240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63240" cy="306324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100"/>
        <w:jc w:val="center"/>
      </w:pPr>
      <w:r>
        <w:rPr>
          <w:rFonts w:ascii="Aptos" w:hAnsi="Aptos"/>
          <w:i/>
          <w:color w:val="5C6F65"/>
          <w:sz w:val="15"/>
        </w:rPr>
        <w:t>Biomedical teaching illustration: Grade evidence for folate, valproate, and other exposures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485"/>
        <w:gridCol w:w="3485"/>
        <w:gridCol w:w="3485"/>
      </w:tblGrid>
      <w:tr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Analogy step</w:t>
            </w:r>
          </w:p>
        </w:tc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Biology step</w:t>
            </w:r>
          </w:p>
        </w:tc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How the relationship stays the same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Weather report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Observed association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Storm intensity and arrival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Dose and critical-window timing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Flight mechanics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Tested cellular or molecular mechanism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</w:tbl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DEVELOPMENTAL LESSON 16 | CASE FILE AND DECISION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06140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4. Use the case evidence</w:t>
            </w:r>
          </w:p>
        </w:tc>
      </w:tr>
    </w:tbl>
    <w:p>
      <w:pPr>
        <w:spacing w:after="0"/>
      </w:pP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485"/>
        <w:gridCol w:w="3485"/>
        <w:gridCol w:w="3485"/>
      </w:tblGrid>
      <w:tr>
        <w:trPr>
          <w:tblHeader w:val="true"/>
        </w:trPr>
        <w:tc>
          <w:tcPr>
            <w:tcW w:type="dxa" w:w="1080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ID</w:t>
            </w:r>
          </w:p>
        </w:tc>
        <w:tc>
          <w:tcPr>
            <w:tcW w:type="dxa" w:w="4536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Finding supplied in the case</w:t>
            </w:r>
          </w:p>
        </w:tc>
        <w:tc>
          <w:tcPr>
            <w:tcW w:type="dxa" w:w="4536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Why it matters</w:t>
            </w:r>
          </w:p>
        </w:tc>
      </w:tr>
      <w:tr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DEV16-E1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Some prenatal exposures are associated with higher cleft risk in populations.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Association can identify a factor worth studying.</w:t>
            </w:r>
          </w:p>
        </w:tc>
      </w:tr>
      <w:tr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DEV16-E2</w:t>
            </w:r>
          </w:p>
        </w:tc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Valproate is a known teratogenic medication whose risks depend on exposure context and timing.</w:t>
            </w:r>
          </w:p>
        </w:tc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specific factor can have biologically important prenatal effects.</w:t>
            </w:r>
          </w:p>
        </w:tc>
      </w:tr>
      <w:tr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DEV16-E3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Most exposed pregnancies do not produce the same outcome, and many clefts occur without a known exposure.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Risk is probabilistic and multifactorial.</w:t>
            </w:r>
          </w:p>
        </w:tc>
      </w:tr>
    </w:tbl>
    <w:p>
      <w:pPr>
        <w:pStyle w:val="Heading1"/>
      </w:pPr>
      <w:r>
        <w:t>5. Make the clinical decision</w:t>
      </w:r>
    </w:p>
    <w:p>
      <w:r>
        <w:rPr>
          <w:b/>
        </w:rPr>
        <w:t xml:space="preserve">You are writing a family-facing explanation for Mateo's chart. </w:t>
      </w:r>
      <w:r>
        <w:t>A parent asks whether one action definitely caused the cleft, but the case file contains no confirmed causal exposure.</w:t>
      </w:r>
    </w:p>
    <w:p>
      <w:pPr>
        <w:ind w:left="288"/>
      </w:pPr>
      <w:r>
        <w:rPr>
          <w:b/>
        </w:rPr>
        <w:t xml:space="preserve">A. </w:t>
      </w:r>
      <w:r>
        <w:t>Explain that risk factors change probability and no single cause is established here.</w:t>
      </w:r>
    </w:p>
    <w:p>
      <w:pPr>
        <w:ind w:left="288"/>
      </w:pPr>
      <w:r>
        <w:rPr>
          <w:b/>
        </w:rPr>
        <w:t xml:space="preserve">B. </w:t>
      </w:r>
      <w:r>
        <w:t>Assign blame without exposure evidence.</w:t>
      </w:r>
    </w:p>
    <w:p>
      <w:pPr>
        <w:ind w:left="288"/>
      </w:pPr>
      <w:r>
        <w:rPr>
          <w:b/>
        </w:rPr>
        <w:t xml:space="preserve">C. </w:t>
      </w:r>
      <w:r>
        <w:t>Say environmental factors can never affect development.</w:t>
      </w:r>
    </w:p>
    <w:p>
      <w:pPr>
        <w:spacing w:after="40"/>
      </w:pPr>
      <w:r>
        <w:rPr>
          <w:b/>
          <w:color w:val="2FD27A"/>
        </w:rPr>
        <w:t xml:space="preserve">Decision. </w:t>
      </w:r>
      <w:r>
        <w:rPr>
          <w:sz w:val="20"/>
        </w:rPr>
        <w:t>Choose the explanation and cite evidence about probability and case limits.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rPr>
          <w:b/>
          <w:color w:val="F5C542"/>
        </w:rPr>
        <w:t xml:space="preserve">Claim ceiling: </w:t>
      </w:r>
      <w:r>
        <w:t>You may explain population risk and biological plausibility. You may not assign an unrecorded exposure or blame.</w:t>
      </w:r>
    </w:p>
    <w:p>
      <w:pPr>
        <w:spacing w:after="40"/>
      </w:pPr>
      <w:r>
        <w:rPr>
          <w:b/>
          <w:color w:val="2FD27A"/>
        </w:rPr>
        <w:t xml:space="preserve">Claim. </w:t>
      </w:r>
      <w:r>
        <w:rPr>
          <w:sz w:val="20"/>
        </w:rPr>
        <w:t>State the choice you can defend.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Evidence. </w:t>
      </w:r>
      <w:r>
        <w:rPr>
          <w:sz w:val="20"/>
        </w:rPr>
        <w:t>Use these labeled IDs: DEV16-E1 + DEV16-E2.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Reasoning. </w:t>
      </w:r>
      <w:r>
        <w:rPr>
          <w:sz w:val="20"/>
        </w:rPr>
        <w:t>Explain why the evidence supports the claim and stays inside the claim ceiling.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DEVELOPMENTAL LESSON 16 | REDUCE, REFLECT, AND PREPARE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2FD27A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6. Reduce the lesson to one lasting idea</w:t>
            </w:r>
          </w:p>
        </w:tc>
      </w:tr>
    </w:tbl>
    <w:p>
      <w:pPr>
        <w:spacing w:after="0"/>
      </w:pPr>
    </w:p>
    <w:p>
      <w:pPr>
        <w:spacing w:after="40"/>
      </w:pPr>
      <w:r>
        <w:rPr>
          <w:b/>
          <w:color w:val="2FD27A"/>
        </w:rPr>
        <w:t xml:space="preserve">Take-home. </w:t>
      </w:r>
      <w:r>
        <w:rPr>
          <w:sz w:val="20"/>
        </w:rPr>
        <w:t>An environmental factor changes risk only when evidence links dose, timing, and mechanism, and risk is not destiny.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What three features make exposure evidence stronger?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Why is risk factor more accurate than guaranteed cause?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pStyle w:val="Heading1"/>
      </w:pPr>
      <w:r>
        <w:t>Glossary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227"/>
        <w:gridCol w:w="5227"/>
      </w:tblGrid>
      <w:tr>
        <w:trPr>
          <w:tblHeader w:val="true"/>
        </w:trPr>
        <w:tc>
          <w:tcPr>
            <w:tcW w:type="dxa" w:w="2880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Term</w:t>
            </w:r>
          </w:p>
        </w:tc>
        <w:tc>
          <w:tcPr>
            <w:tcW w:type="dxa" w:w="7272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Plain-English definition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teratogen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An agent such as a drug, chemical, or infection that can disrupt development and cause birth differences if exposure happens during pregnancy.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critical window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lesson term defined by the surrounding model and case evidence.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folate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B vitamin the body needs to build DNA and new cells; taking enough before and in early pregnancy lowers the risk of cleft and neural tube defects.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valproate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medication used for seizures and mood that raises the risk of birth defects, including cleft palate, when taken during pregnancy.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risk factor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Anything that raises a person's chance of developing a disease, such as smoking, family history, or high blood pressure, without guaranteeing it.</w:t>
            </w:r>
          </w:p>
        </w:tc>
      </w:tr>
    </w:tbl>
    <w:p>
      <w:pPr>
        <w:pStyle w:val="Heading1"/>
      </w:pPr>
      <w:r>
        <w:t>Next lesson unlock</w:t>
      </w:r>
    </w:p>
    <w:p>
      <w:pPr>
        <w:spacing w:after="100"/>
      </w:pPr>
      <w:r>
        <w:t>Yes, the environment can tip the odds during the fusion window. But here is the puzzle: the same exposure can reach two embryos with the same DNA and only one of them clefts. How can identical DNA give different results?</w:t>
      </w:r>
    </w:p>
    <w:p>
      <w:r>
        <w:rPr>
          <w:i/>
          <w:color w:val="5C6F65"/>
        </w:rPr>
        <w:t>The journal links on the lesson page are optional. Everything required for this guided-notes set is already supplied here and in the case file.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835" w:right="893" w:bottom="792" w:left="893" w:header="360" w:footer="36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right"/>
    </w:pPr>
    <w:r>
      <w:rPr>
        <w:rFonts w:ascii="Aptos" w:hAnsi="Aptos"/>
        <w:color w:val="5C6F65"/>
        <w:sz w:val="16"/>
      </w:rPr>
      <w:t xml:space="preserve">Page </w:t>
    </w:r>
    <w:fldSimple w:instr="PAGE"/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left"/>
    </w:pPr>
    <w:r>
      <w:rPr>
        <w:rFonts w:ascii="Aptos" w:hAnsi="Aptos"/>
        <w:b/>
        <w:color w:val="2FD27A"/>
        <w:sz w:val="16"/>
      </w:rPr>
      <w:t>JOHN HAY BIOMEDICAL  |  THE BABY MATEO CASE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59" w:lineRule="auto"/>
    </w:pPr>
    <w:rPr>
      <w:rFonts w:ascii="Aptos" w:hAnsi="Aptos"/>
      <w:color w:val="06140F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100"/>
      <w:outlineLvl w:val="0"/>
    </w:pPr>
    <w:rPr>
      <w:rFonts w:asciiTheme="majorHAnsi" w:eastAsiaTheme="majorEastAsia" w:hAnsiTheme="majorHAnsi" w:cstheme="majorBidi" w:ascii="Aptos Display" w:hAnsi="Aptos Display"/>
      <w:b/>
      <w:bCs/>
      <w:color w:val="06140F"/>
      <w:sz w:val="3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20" w:after="100"/>
      <w:outlineLvl w:val="1"/>
    </w:pPr>
    <w:rPr>
      <w:rFonts w:asciiTheme="majorHAnsi" w:eastAsiaTheme="majorEastAsia" w:hAnsiTheme="majorHAnsi" w:cstheme="majorBidi" w:ascii="Aptos Display" w:hAnsi="Aptos Display"/>
      <w:b/>
      <w:bCs/>
      <w:color w:val="123426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120" w:after="100"/>
      <w:outlineLvl w:val="2"/>
    </w:pPr>
    <w:rPr>
      <w:rFonts w:asciiTheme="majorHAnsi" w:eastAsiaTheme="majorEastAsia" w:hAnsiTheme="majorHAnsi" w:cstheme="majorBidi" w:ascii="Aptos Display" w:hAnsi="Aptos Display"/>
      <w:b/>
      <w:bCs/>
      <w:color w:val="2FD27A"/>
      <w:sz w:val="2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100" w:line="240" w:lineRule="auto" w:before="120"/>
      <w:contextualSpacing/>
    </w:pPr>
    <w:rPr>
      <w:rFonts w:asciiTheme="majorHAnsi" w:eastAsiaTheme="majorEastAsia" w:hAnsiTheme="majorHAnsi" w:cstheme="majorBidi" w:ascii="Aptos Display" w:hAnsi="Aptos Display"/>
      <w:b/>
      <w:color w:val="06140F"/>
      <w:spacing w:val="5"/>
      <w:kern w:val="28"/>
      <w:sz w:val="5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1.jpg"/><Relationship Id="rId12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Developmental Lesson 16: Guided Notes</dc:title>
  <dc:subject>Socratic guided notes aligned to the lesson deck</dc:subject>
  <dc:creator>John Hay Biomedical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