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60"/>
      </w:pPr>
      <w:r>
        <w:rPr>
          <w:rFonts w:ascii="Aptos" w:hAnsi="Aptos"/>
          <w:b/>
          <w:color w:val="2FD27A"/>
          <w:sz w:val="16"/>
        </w:rPr>
        <w:t>DEVELOPMENTAL DOMAIN | LESSON 13 OF 20 | CELL BIOLOGIST (EPITHELIAL TEAM, GENETICS OVERLAP)</w:t>
      </w:r>
    </w:p>
    <w:p>
      <w:pPr>
        <w:pStyle w:val="Title"/>
        <w:spacing w:after="80"/>
      </w:pPr>
      <w:r>
        <w:t>Periderm and IRF6, the Non-Stick Coating on the Embryo</w:t>
      </w:r>
    </w:p>
    <w:p>
      <w:pPr>
        <w:spacing w:after="200"/>
      </w:pPr>
      <w:r>
        <w:rPr>
          <w:rFonts w:ascii="Aptos" w:hAnsi="Aptos"/>
          <w:color w:val="5C6F65"/>
          <w:sz w:val="22"/>
        </w:rPr>
        <w:t>What keeps the surfaces inside the mouth from sticking to the wrong neighbor, and what happens when that protection is missing?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227"/>
        <w:gridCol w:w="5227"/>
      </w:tblGrid>
      <w:tr>
        <w:tc>
          <w:tcPr>
            <w:tcW w:type="dxa" w:w="5054"/>
            <w:shd w:fill="E9F4ED"/>
            <w:tcMar>
              <w:top w:w="130" w:type="dxa"/>
              <w:start w:w="145" w:type="dxa"/>
              <w:bottom w:w="130" w:type="dxa"/>
              <w:end w:w="145" w:type="dxa"/>
            </w:tcMar>
          </w:tcPr>
          <w:p>
            <w:pPr>
              <w:spacing w:after="60"/>
            </w:pPr>
            <w:r/>
            <w:r>
              <w:rPr>
                <w:rFonts w:ascii="Aptos" w:hAnsi="Aptos"/>
                <w:b/>
                <w:color w:val="2FD27A"/>
                <w:sz w:val="16"/>
              </w:rPr>
              <w:t>CARRY FORWARD</w:t>
            </w:r>
          </w:p>
          <w:p>
            <w:pPr>
              <w:spacing w:after="0"/>
            </w:pPr>
            <w:r>
              <w:rPr>
                <w:rFonts w:ascii="Aptos" w:hAnsi="Aptos"/>
                <w:b/>
                <w:color w:val="06140F"/>
                <w:sz w:val="20"/>
              </w:rPr>
              <w:t>Wnt-beta-catenin signaling can steer cranial progenitors toward dermal and bone fates while repressing cartilage fate.</w:t>
            </w:r>
          </w:p>
        </w:tc>
        <w:tc>
          <w:tcPr>
            <w:tcW w:type="dxa" w:w="5054"/>
            <w:shd w:fill="FFF7D5"/>
            <w:tcMar>
              <w:top w:w="130" w:type="dxa"/>
              <w:start w:w="145" w:type="dxa"/>
              <w:bottom w:w="130" w:type="dxa"/>
              <w:end w:w="145" w:type="dxa"/>
            </w:tcMar>
          </w:tcPr>
          <w:p>
            <w:pPr>
              <w:spacing w:after="60"/>
            </w:pPr>
            <w:r/>
            <w:r>
              <w:rPr>
                <w:rFonts w:ascii="Aptos" w:hAnsi="Aptos"/>
                <w:b/>
                <w:color w:val="8A6B00"/>
                <w:sz w:val="16"/>
              </w:rPr>
              <w:t>10-YEAR TAKEAWAY</w:t>
            </w:r>
          </w:p>
          <w:p>
            <w:pPr>
              <w:spacing w:after="0"/>
            </w:pPr>
            <w:r>
              <w:rPr>
                <w:rFonts w:ascii="Aptos" w:hAnsi="Aptos"/>
                <w:b/>
                <w:color w:val="06140F"/>
                <w:sz w:val="20"/>
              </w:rPr>
              <w:t>IRF6-dependent periderm acts as a temporary non-stick surface that prevents the wrong oral tissues from adhering.</w:t>
            </w:r>
          </w:p>
        </w:tc>
      </w:tr>
    </w:tbl>
    <w:p/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613"/>
        <w:gridCol w:w="2613"/>
        <w:gridCol w:w="2613"/>
        <w:gridCol w:w="2613"/>
      </w:tblGrid>
      <w:tr>
        <w:tc>
          <w:tcPr>
            <w:tcW w:type="dxa" w:w="2613"/>
            <w:shd w:fill="2FD27A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center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Cells differentiate</w:t>
            </w:r>
          </w:p>
        </w:tc>
        <w:tc>
          <w:tcPr>
            <w:tcW w:type="dxa" w:w="2613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center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Development sculpts</w:t>
            </w:r>
          </w:p>
        </w:tc>
        <w:tc>
          <w:tcPr>
            <w:tcW w:type="dxa" w:w="2613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center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Cells move</w:t>
            </w:r>
          </w:p>
        </w:tc>
        <w:tc>
          <w:tcPr>
            <w:tcW w:type="dxa" w:w="2613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center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Development can go wrong</w:t>
            </w:r>
          </w:p>
        </w:tc>
      </w:tr>
    </w:tbl>
    <w:p>
      <w:pPr>
        <w:pStyle w:val="Heading1"/>
      </w:pPr>
      <w:r>
        <w:t>1. Observe the analogy before naming the biology</w:t>
      </w:r>
    </w:p>
    <w:p>
      <w:pPr>
        <w:spacing w:after="40"/>
        <w:jc w:val="center"/>
      </w:pPr>
      <w:r>
        <w:drawing>
          <wp:inline xmlns:a="http://schemas.openxmlformats.org/drawingml/2006/main" xmlns:pic="http://schemas.openxmlformats.org/drawingml/2006/picture">
            <wp:extent cx="3108960" cy="310896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108960" cy="310896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100"/>
        <w:jc w:val="center"/>
      </w:pPr>
      <w:r>
        <w:rPr>
          <w:rFonts w:ascii="Aptos" w:hAnsi="Aptos"/>
          <w:i/>
          <w:color w:val="5C6F65"/>
          <w:sz w:val="15"/>
        </w:rPr>
        <w:t>Illustration: Protective film keeps stacked labels from sticking early</w:t>
      </w:r>
    </w:p>
    <w:p>
      <w:pPr>
        <w:spacing w:after="40"/>
      </w:pPr>
      <w:r>
        <w:rPr>
          <w:b/>
          <w:color w:val="2FD27A"/>
        </w:rPr>
        <w:t xml:space="preserve">1. </w:t>
      </w:r>
      <w:r>
        <w:rPr>
          <w:sz w:val="20"/>
        </w:rPr>
        <w:t>Why is the protective layer temporary?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2. </w:t>
      </w:r>
      <w:r>
        <w:rPr>
          <w:sz w:val="20"/>
        </w:rPr>
        <w:t>What happens if the sticky surfaces meet too early?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3. </w:t>
      </w:r>
      <w:r>
        <w:rPr>
          <w:sz w:val="20"/>
        </w:rPr>
        <w:t>When should the protection be removed?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r>
        <w:br w:type="page"/>
      </w:r>
    </w:p>
    <w:p>
      <w:pPr>
        <w:spacing w:after="60"/>
      </w:pPr>
      <w:r>
        <w:rPr>
          <w:rFonts w:ascii="Aptos" w:hAnsi="Aptos"/>
          <w:b/>
          <w:color w:val="2FD27A"/>
          <w:sz w:val="16"/>
        </w:rPr>
        <w:t>DEVELOPMENTAL LESSON 13 | RULES AND BIOLOGY MAPPING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339"/>
      </w:tblGrid>
      <w:tr>
        <w:tc>
          <w:tcPr>
            <w:tcW w:type="dxa" w:w="10454"/>
            <w:shd w:fill="06140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20"/>
              </w:rPr>
              <w:t>2. Turn observations into rules</w:t>
            </w:r>
          </w:p>
        </w:tc>
      </w:tr>
    </w:tbl>
    <w:p>
      <w:pPr>
        <w:spacing w:after="0"/>
      </w:pPr>
    </w:p>
    <w:p>
      <w:pPr>
        <w:spacing w:after="40"/>
      </w:pPr>
      <w:r>
        <w:rPr>
          <w:b/>
          <w:color w:val="2FD27A"/>
        </w:rPr>
        <w:t xml:space="preserve">1. </w:t>
      </w:r>
      <w:r>
        <w:rPr>
          <w:sz w:val="20"/>
        </w:rPr>
        <w:t>Rule 1: A temporary surface layer can prevent wrong contacts. Explain it in your own words.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2. </w:t>
      </w:r>
      <w:r>
        <w:rPr>
          <w:sz w:val="20"/>
        </w:rPr>
        <w:t>Rule 2: Differentiation gives a cell layer a specialized function. Explain it in your own words.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3. </w:t>
      </w:r>
      <w:r>
        <w:rPr>
          <w:sz w:val="20"/>
        </w:rPr>
        <w:t>Rule 3: Loss of protection can create a mechanical block later. Explain it in your own words.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r>
        <w:rPr>
          <w:b/>
          <w:color w:val="F5C542"/>
        </w:rPr>
        <w:t xml:space="preserve">Where the analogy stops: </w:t>
      </w:r>
      <w:r>
        <w:t>Periderm is a living epithelial layer with regulated genes, not plastic film.</w:t>
      </w:r>
    </w:p>
    <w:p>
      <w:pPr>
        <w:pStyle w:val="Heading1"/>
      </w:pPr>
      <w:r>
        <w:t>3. Map the rules onto the biomedical example</w:t>
      </w:r>
    </w:p>
    <w:p>
      <w:pPr>
        <w:spacing w:after="40"/>
        <w:jc w:val="center"/>
      </w:pPr>
      <w:r>
        <w:drawing>
          <wp:inline xmlns:a="http://schemas.openxmlformats.org/drawingml/2006/main" xmlns:pic="http://schemas.openxmlformats.org/drawingml/2006/picture">
            <wp:extent cx="3063240" cy="3063240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63240" cy="306324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100"/>
        <w:jc w:val="center"/>
      </w:pPr>
      <w:r>
        <w:rPr>
          <w:rFonts w:ascii="Aptos" w:hAnsi="Aptos"/>
          <w:i/>
          <w:color w:val="5C6F65"/>
          <w:sz w:val="15"/>
        </w:rPr>
        <w:t>Biomedical teaching illustration: Connect IRF6, periderm, and oral adhesion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3485"/>
        <w:gridCol w:w="3485"/>
        <w:gridCol w:w="3485"/>
      </w:tblGrid>
      <w:tr>
        <w:tc>
          <w:tcPr>
            <w:tcW w:type="dxa" w:w="3485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Analogy step</w:t>
            </w:r>
          </w:p>
        </w:tc>
        <w:tc>
          <w:tcPr>
            <w:tcW w:type="dxa" w:w="3485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Biology step</w:t>
            </w:r>
          </w:p>
        </w:tc>
        <w:tc>
          <w:tcPr>
            <w:tcW w:type="dxa" w:w="3485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How the relationship stays the same</w:t>
            </w:r>
          </w:p>
        </w:tc>
      </w:tr>
      <w:tr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Protective film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Periderm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5C6F65"/>
                <w:sz w:val="17"/>
              </w:rPr>
              <w:t>________________________________</w:t>
            </w:r>
          </w:p>
        </w:tc>
      </w:tr>
      <w:tr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Film-making instruction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IRF6-dependent differentiation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5C6F65"/>
                <w:sz w:val="17"/>
              </w:rPr>
              <w:t>________________________________</w:t>
            </w:r>
          </w:p>
        </w:tc>
      </w:tr>
      <w:tr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Labels stuck too early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Abnormal tongue-palate or oral epithelial adhesion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5C6F65"/>
                <w:sz w:val="17"/>
              </w:rPr>
              <w:t>________________________________</w:t>
            </w:r>
          </w:p>
        </w:tc>
      </w:tr>
    </w:tbl>
    <w:p>
      <w:r>
        <w:br w:type="page"/>
      </w:r>
    </w:p>
    <w:p>
      <w:pPr>
        <w:spacing w:after="60"/>
      </w:pPr>
      <w:r>
        <w:rPr>
          <w:rFonts w:ascii="Aptos" w:hAnsi="Aptos"/>
          <w:b/>
          <w:color w:val="2FD27A"/>
          <w:sz w:val="16"/>
        </w:rPr>
        <w:t>DEVELOPMENTAL LESSON 13 | CASE FILE AND DECISION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339"/>
      </w:tblGrid>
      <w:tr>
        <w:tc>
          <w:tcPr>
            <w:tcW w:type="dxa" w:w="10454"/>
            <w:shd w:fill="06140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20"/>
              </w:rPr>
              <w:t>4. Use the case evidence</w:t>
            </w:r>
          </w:p>
        </w:tc>
      </w:tr>
    </w:tbl>
    <w:p>
      <w:pPr>
        <w:spacing w:after="0"/>
      </w:pP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485"/>
        <w:gridCol w:w="3485"/>
        <w:gridCol w:w="3485"/>
      </w:tblGrid>
      <w:tr>
        <w:trPr>
          <w:tblHeader w:val="true"/>
        </w:trPr>
        <w:tc>
          <w:tcPr>
            <w:tcW w:type="dxa" w:w="1080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ID</w:t>
            </w:r>
          </w:p>
        </w:tc>
        <w:tc>
          <w:tcPr>
            <w:tcW w:type="dxa" w:w="4536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Finding supplied in the case</w:t>
            </w:r>
          </w:p>
        </w:tc>
        <w:tc>
          <w:tcPr>
            <w:tcW w:type="dxa" w:w="4536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Why it matters</w:t>
            </w:r>
          </w:p>
        </w:tc>
      </w:tr>
      <w:tr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2FD27A"/>
                <w:sz w:val="17"/>
              </w:rPr>
              <w:t>DEV13-E1</w:t>
            </w:r>
          </w:p>
        </w:tc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Periderm covers embryonic oral epithelial surfaces during key stages.</w:t>
            </w:r>
          </w:p>
        </w:tc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It provides a temporary specialized surface.</w:t>
            </w:r>
          </w:p>
        </w:tc>
      </w:tr>
      <w:tr>
        <w:tc>
          <w:tcPr>
            <w:tcW w:type="dxa" w:w="3485"/>
            <w:shd w:fill="FFFFF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2FD27A"/>
                <w:sz w:val="17"/>
              </w:rPr>
              <w:t>DEV13-E2</w:t>
            </w:r>
          </w:p>
        </w:tc>
        <w:tc>
          <w:tcPr>
            <w:tcW w:type="dxa" w:w="3485"/>
            <w:shd w:fill="FFFFF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Irf6-deficient mouse embryos have abnormal periderm differentiation.</w:t>
            </w:r>
          </w:p>
        </w:tc>
        <w:tc>
          <w:tcPr>
            <w:tcW w:type="dxa" w:w="3485"/>
            <w:shd w:fill="FFFFF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IRF6 is required for normal protection in the model.</w:t>
            </w:r>
          </w:p>
        </w:tc>
      </w:tr>
      <w:tr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2FD27A"/>
                <w:sz w:val="17"/>
              </w:rPr>
              <w:t>DEV13-E3</w:t>
            </w:r>
          </w:p>
        </w:tc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Abnormal oral adhesions can block palatal shelf elevation.</w:t>
            </w:r>
          </w:p>
        </w:tc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A surface defect can create a later movement defect.</w:t>
            </w:r>
          </w:p>
        </w:tc>
      </w:tr>
    </w:tbl>
    <w:p>
      <w:pPr>
        <w:pStyle w:val="Heading1"/>
      </w:pPr>
      <w:r>
        <w:t>5. Make the clinical decision</w:t>
      </w:r>
    </w:p>
    <w:p>
      <w:r>
        <w:rPr>
          <w:b/>
        </w:rPr>
        <w:t xml:space="preserve">You are explaining an Irf6 mutant image to a clinical genetics group. </w:t>
      </w:r>
      <w:r>
        <w:t>The shelves formed, but one shelf is attached to the tongue before elevation.</w:t>
      </w:r>
    </w:p>
    <w:p>
      <w:pPr>
        <w:ind w:left="288"/>
      </w:pPr>
      <w:r>
        <w:rPr>
          <w:b/>
        </w:rPr>
        <w:t xml:space="preserve">A. </w:t>
      </w:r>
      <w:r>
        <w:t>Trace the failure from periderm loss to abnormal adhesion to blocked elevation.</w:t>
      </w:r>
    </w:p>
    <w:p>
      <w:pPr>
        <w:ind w:left="288"/>
      </w:pPr>
      <w:r>
        <w:rPr>
          <w:b/>
        </w:rPr>
        <w:t xml:space="preserve">B. </w:t>
      </w:r>
      <w:r>
        <w:t>Say the shelf failed because it never existed.</w:t>
      </w:r>
    </w:p>
    <w:p>
      <w:pPr>
        <w:ind w:left="288"/>
      </w:pPr>
      <w:r>
        <w:rPr>
          <w:b/>
        </w:rPr>
        <w:t xml:space="preserve">C. </w:t>
      </w:r>
      <w:r>
        <w:t>Call every IRF6 variant a complete gene knockout.</w:t>
      </w:r>
    </w:p>
    <w:p>
      <w:pPr>
        <w:spacing w:after="40"/>
      </w:pPr>
      <w:r>
        <w:rPr>
          <w:b/>
          <w:color w:val="2FD27A"/>
        </w:rPr>
        <w:t xml:space="preserve">Decision. </w:t>
      </w:r>
      <w:r>
        <w:rPr>
          <w:sz w:val="20"/>
        </w:rPr>
        <w:t>Choose the causal sequence and cite the surface and movement evidence.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r>
        <w:rPr>
          <w:b/>
          <w:color w:val="F5C542"/>
        </w:rPr>
        <w:t xml:space="preserve">Claim ceiling: </w:t>
      </w:r>
      <w:r>
        <w:t>You may explain the knockout mechanism. You may not treat all human IRF6 variants as identical to a complete mouse knockout.</w:t>
      </w:r>
    </w:p>
    <w:p>
      <w:pPr>
        <w:spacing w:after="40"/>
      </w:pPr>
      <w:r>
        <w:rPr>
          <w:b/>
          <w:color w:val="2FD27A"/>
        </w:rPr>
        <w:t xml:space="preserve">Claim. </w:t>
      </w:r>
      <w:r>
        <w:rPr>
          <w:sz w:val="20"/>
        </w:rPr>
        <w:t>State the choice you can defend.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Evidence. </w:t>
      </w:r>
      <w:r>
        <w:rPr>
          <w:sz w:val="20"/>
        </w:rPr>
        <w:t>Use these labeled IDs: DEV13-E1 + DEV13-E2.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Reasoning. </w:t>
      </w:r>
      <w:r>
        <w:rPr>
          <w:sz w:val="20"/>
        </w:rPr>
        <w:t>Explain why the evidence supports the claim and stays inside the claim ceiling.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r>
        <w:br w:type="page"/>
      </w:r>
    </w:p>
    <w:p>
      <w:pPr>
        <w:spacing w:after="60"/>
      </w:pPr>
      <w:r>
        <w:rPr>
          <w:rFonts w:ascii="Aptos" w:hAnsi="Aptos"/>
          <w:b/>
          <w:color w:val="2FD27A"/>
          <w:sz w:val="16"/>
        </w:rPr>
        <w:t>DEVELOPMENTAL LESSON 13 | REDUCE, REFLECT, AND PREPARE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339"/>
      </w:tblGrid>
      <w:tr>
        <w:tc>
          <w:tcPr>
            <w:tcW w:type="dxa" w:w="10454"/>
            <w:shd w:fill="2FD27A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20"/>
              </w:rPr>
              <w:t>6. Reduce the lesson to one lasting idea</w:t>
            </w:r>
          </w:p>
        </w:tc>
      </w:tr>
    </w:tbl>
    <w:p>
      <w:pPr>
        <w:spacing w:after="0"/>
      </w:pPr>
    </w:p>
    <w:p>
      <w:pPr>
        <w:spacing w:after="40"/>
      </w:pPr>
      <w:r>
        <w:rPr>
          <w:b/>
          <w:color w:val="2FD27A"/>
        </w:rPr>
        <w:t xml:space="preserve">Take-home. </w:t>
      </w:r>
      <w:r>
        <w:rPr>
          <w:sz w:val="20"/>
        </w:rPr>
        <w:t>IRF6-dependent periderm acts as a temporary non-stick surface that prevents the wrong oral tissues from adhering.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1. </w:t>
      </w:r>
      <w:r>
        <w:rPr>
          <w:sz w:val="20"/>
        </w:rPr>
        <w:t>What specialized job does periderm perform?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2. </w:t>
      </w:r>
      <w:r>
        <w:rPr>
          <w:sz w:val="20"/>
        </w:rPr>
        <w:t>How can a surface defect become a movement defect?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pStyle w:val="Heading1"/>
      </w:pPr>
      <w:r>
        <w:t>Glossary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227"/>
        <w:gridCol w:w="5227"/>
      </w:tblGrid>
      <w:tr>
        <w:trPr>
          <w:tblHeader w:val="true"/>
        </w:trPr>
        <w:tc>
          <w:tcPr>
            <w:tcW w:type="dxa" w:w="2880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Term</w:t>
            </w:r>
          </w:p>
        </w:tc>
        <w:tc>
          <w:tcPr>
            <w:tcW w:type="dxa" w:w="7272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Plain-English definition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periderm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A thin temporary outer cell layer of the embryo; if it sticks where it should not, the growing edges cannot fuse.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IRF6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Interferon Regulatory Factor 6, a transcription factor needed by the skin-like cells that let the lip and palate fuse; a leading cleft gene.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intraoral adhesion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An abnormal band of tissue that connects structures inside the mouth that should be separate, sometimes seen with cleft conditions.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cell-autonomous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Describing an effect that plays out inside the very cell carrying the change, rather than in its neighbors.</w:t>
            </w:r>
          </w:p>
        </w:tc>
      </w:tr>
    </w:tbl>
    <w:p>
      <w:pPr>
        <w:pStyle w:val="Heading1"/>
      </w:pPr>
      <w:r>
        <w:t>Next lesson unlock</w:t>
      </w:r>
    </w:p>
    <w:p>
      <w:pPr>
        <w:spacing w:after="100"/>
      </w:pPr>
      <w:r>
        <w:t>We now know which surfaces must stay apart and which must fuse, and which gene polices that. But clefts come in different forms: some only the lip, some only the palate, some both. Which exact step fails for a cleft lip versus a cleft palate?</w:t>
      </w:r>
    </w:p>
    <w:p>
      <w:r>
        <w:rPr>
          <w:i/>
          <w:color w:val="5C6F65"/>
        </w:rPr>
        <w:t>The journal links on the lesson page are optional. Everything required for this guided-notes set is already supplied here and in the case file.</w:t>
      </w:r>
    </w:p>
    <w:sectPr w:rsidR="00FC693F" w:rsidRPr="0006063C" w:rsidSect="00034616">
      <w:headerReference w:type="default" r:id="rId9"/>
      <w:footerReference w:type="default" r:id="rId10"/>
      <w:pgSz w:w="12240" w:h="15840"/>
      <w:pgMar w:top="835" w:right="893" w:bottom="792" w:left="893" w:header="360" w:footer="36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right"/>
    </w:pPr>
    <w:r>
      <w:rPr>
        <w:rFonts w:ascii="Aptos" w:hAnsi="Aptos"/>
        <w:color w:val="5C6F65"/>
        <w:sz w:val="16"/>
      </w:rPr>
      <w:t xml:space="preserve">Page </w:t>
    </w:r>
    <w:fldSimple w:instr="PAGE"/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spacing w:after="0"/>
      <w:jc w:val="left"/>
    </w:pPr>
    <w:r>
      <w:rPr>
        <w:rFonts w:ascii="Aptos" w:hAnsi="Aptos"/>
        <w:b/>
        <w:color w:val="2FD27A"/>
        <w:sz w:val="16"/>
      </w:rPr>
      <w:t>JOHN HAY BIOMEDICAL  |  THE BABY MATEO CASE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00" w:line="259" w:lineRule="auto"/>
    </w:pPr>
    <w:rPr>
      <w:rFonts w:ascii="Aptos" w:hAnsi="Aptos"/>
      <w:color w:val="06140F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100"/>
      <w:outlineLvl w:val="0"/>
    </w:pPr>
    <w:rPr>
      <w:rFonts w:asciiTheme="majorHAnsi" w:eastAsiaTheme="majorEastAsia" w:hAnsiTheme="majorHAnsi" w:cstheme="majorBidi" w:ascii="Aptos Display" w:hAnsi="Aptos Display"/>
      <w:b/>
      <w:bCs/>
      <w:color w:val="06140F"/>
      <w:sz w:val="3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20" w:after="100"/>
      <w:outlineLvl w:val="1"/>
    </w:pPr>
    <w:rPr>
      <w:rFonts w:asciiTheme="majorHAnsi" w:eastAsiaTheme="majorEastAsia" w:hAnsiTheme="majorHAnsi" w:cstheme="majorBidi" w:ascii="Aptos Display" w:hAnsi="Aptos Display"/>
      <w:b/>
      <w:bCs/>
      <w:color w:val="123426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120" w:after="100"/>
      <w:outlineLvl w:val="2"/>
    </w:pPr>
    <w:rPr>
      <w:rFonts w:asciiTheme="majorHAnsi" w:eastAsiaTheme="majorEastAsia" w:hAnsiTheme="majorHAnsi" w:cstheme="majorBidi" w:ascii="Aptos Display" w:hAnsi="Aptos Display"/>
      <w:b/>
      <w:bCs/>
      <w:color w:val="2FD27A"/>
      <w:sz w:val="20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100" w:line="240" w:lineRule="auto" w:before="120"/>
      <w:contextualSpacing/>
    </w:pPr>
    <w:rPr>
      <w:rFonts w:asciiTheme="majorHAnsi" w:eastAsiaTheme="majorEastAsia" w:hAnsiTheme="majorHAnsi" w:cstheme="majorBidi" w:ascii="Aptos Display" w:hAnsi="Aptos Display"/>
      <w:b/>
      <w:color w:val="06140F"/>
      <w:spacing w:val="5"/>
      <w:kern w:val="28"/>
      <w:sz w:val="5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1.jpg"/><Relationship Id="rId12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Developmental Lesson 13: Guided Notes</dc:title>
  <dc:subject>Socratic guided notes aligned to the lesson deck</dc:subject>
  <dc:creator>John Hay Biomedical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