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60"/>
      </w:pPr>
      <w:r>
        <w:rPr>
          <w:rFonts w:ascii="Aptos" w:hAnsi="Aptos"/>
          <w:b/>
          <w:color w:val="2FD27A"/>
          <w:sz w:val="16"/>
        </w:rPr>
        <w:t>DEVELOPMENTAL DOMAIN | LESSON 6 OF 20 | EMBRYOLOGIST</w:t>
      </w:r>
    </w:p>
    <w:p>
      <w:pPr>
        <w:pStyle w:val="Title"/>
        <w:spacing w:after="80"/>
      </w:pPr>
      <w:r>
        <w:t>How the Palate Begins: Secondary Palatal Shelf Outgrowth</w:t>
      </w:r>
    </w:p>
    <w:p>
      <w:pPr>
        <w:spacing w:after="200"/>
      </w:pPr>
      <w:r>
        <w:rPr>
          <w:rFonts w:ascii="Aptos" w:hAnsi="Aptos"/>
          <w:color w:val="5C6F65"/>
          <w:sz w:val="22"/>
        </w:rPr>
        <w:t>Where does the back of the palate come from, and what makes it grow?</w:t>
      </w:r>
    </w:p>
    <w:tbl>
      <w:tblPr>
        <w:tblW w:type="auto" w:w="0"/>
        <w:jc w:val="center"/>
        <w:tblLayout w:type="fixed"/>
        <w:tblLook w:firstColumn="1" w:firstRow="1" w:lastColumn="0" w:lastRow="0" w:noHBand="0" w:noVBand="1" w:val="04A0"/>
      </w:tblPr>
      <w:tblGrid>
        <w:gridCol w:w="5227"/>
        <w:gridCol w:w="5227"/>
      </w:tblGrid>
      <w:tr>
        <w:tc>
          <w:tcPr>
            <w:tcW w:type="dxa" w:w="5054"/>
            <w:shd w:fill="E9F4ED"/>
            <w:tcMar>
              <w:top w:w="130" w:type="dxa"/>
              <w:start w:w="145" w:type="dxa"/>
              <w:bottom w:w="130" w:type="dxa"/>
              <w:end w:w="145" w:type="dxa"/>
            </w:tcMar>
          </w:tcPr>
          <w:p>
            <w:pPr>
              <w:spacing w:after="60"/>
            </w:pPr>
            <w:r/>
            <w:r>
              <w:rPr>
                <w:rFonts w:ascii="Aptos" w:hAnsi="Aptos"/>
                <w:b/>
                <w:color w:val="2FD27A"/>
                <w:sz w:val="16"/>
              </w:rPr>
              <w:t>CARRY FORWARD</w:t>
            </w:r>
          </w:p>
          <w:p>
            <w:pPr>
              <w:spacing w:after="0"/>
            </w:pPr>
            <w:r>
              <w:rPr>
                <w:rFonts w:ascii="Aptos" w:hAnsi="Aptos"/>
                <w:b/>
                <w:color w:val="06140F"/>
                <w:sz w:val="20"/>
              </w:rPr>
              <w:t>Upper-lip closure requires growth, contact, and stable fusion at the maxillary-medial nasal boundary.</w:t>
            </w:r>
          </w:p>
        </w:tc>
        <w:tc>
          <w:tcPr>
            <w:tcW w:type="dxa" w:w="5054"/>
            <w:shd w:fill="FFF7D5"/>
            <w:tcMar>
              <w:top w:w="130" w:type="dxa"/>
              <w:start w:w="145" w:type="dxa"/>
              <w:bottom w:w="130" w:type="dxa"/>
              <w:end w:w="145" w:type="dxa"/>
            </w:tcMar>
          </w:tcPr>
          <w:p>
            <w:pPr>
              <w:spacing w:after="60"/>
            </w:pPr>
            <w:r/>
            <w:r>
              <w:rPr>
                <w:rFonts w:ascii="Aptos" w:hAnsi="Aptos"/>
                <w:b/>
                <w:color w:val="8A6B00"/>
                <w:sz w:val="16"/>
              </w:rPr>
              <w:t>10-YEAR TAKEAWAY</w:t>
            </w:r>
          </w:p>
          <w:p>
            <w:pPr>
              <w:spacing w:after="0"/>
            </w:pPr>
            <w:r>
              <w:rPr>
                <w:rFonts w:ascii="Aptos" w:hAnsi="Aptos"/>
                <w:b/>
                <w:color w:val="06140F"/>
                <w:sz w:val="20"/>
              </w:rPr>
              <w:t>The secondary palate begins as paired shelves whose cell growth must create enough tissue to reach the midline.</w:t>
            </w:r>
          </w:p>
        </w:tc>
      </w:tr>
    </w:tbl>
    <w:p/>
    <w:tbl>
      <w:tblPr>
        <w:tblW w:type="auto" w:w="0"/>
        <w:jc w:val="center"/>
        <w:tblLayout w:type="fixed"/>
        <w:tblLook w:firstColumn="1" w:firstRow="1" w:lastColumn="0" w:lastRow="0" w:noHBand="0" w:noVBand="1" w:val="04A0"/>
      </w:tblPr>
      <w:tblGrid>
        <w:gridCol w:w="2613"/>
        <w:gridCol w:w="2613"/>
        <w:gridCol w:w="2613"/>
        <w:gridCol w:w="2613"/>
      </w:tblGrid>
      <w:tr>
        <w:tc>
          <w:tcPr>
            <w:tcW w:type="dxa" w:w="2613"/>
            <w:shd w:fill="E9F4ED"/>
            <w:vAlign w:val="center"/>
            <w:tcMar>
              <w:top w:w="90" w:type="dxa"/>
              <w:start w:w="110" w:type="dxa"/>
              <w:bottom w:w="90" w:type="dxa"/>
              <w:end w:w="110" w:type="dxa"/>
            </w:tcMar>
          </w:tcPr>
          <w:p>
            <w:pPr>
              <w:spacing w:after="0"/>
              <w:jc w:val="center"/>
            </w:pPr>
            <w:r/>
            <w:r>
              <w:rPr>
                <w:rFonts w:ascii="Aptos" w:hAnsi="Aptos"/>
                <w:b/>
                <w:color w:val="06140F"/>
                <w:sz w:val="17"/>
              </w:rPr>
              <w:t>Cells differentiate</w:t>
            </w:r>
          </w:p>
        </w:tc>
        <w:tc>
          <w:tcPr>
            <w:tcW w:type="dxa" w:w="2613"/>
            <w:shd w:fill="2FD27A"/>
            <w:vAlign w:val="center"/>
            <w:tcMar>
              <w:top w:w="90" w:type="dxa"/>
              <w:start w:w="110" w:type="dxa"/>
              <w:bottom w:w="90" w:type="dxa"/>
              <w:end w:w="110" w:type="dxa"/>
            </w:tcMar>
          </w:tcPr>
          <w:p>
            <w:pPr>
              <w:spacing w:after="0"/>
              <w:jc w:val="center"/>
            </w:pPr>
            <w:r/>
            <w:r>
              <w:rPr>
                <w:rFonts w:ascii="Aptos" w:hAnsi="Aptos"/>
                <w:b/>
                <w:color w:val="06140F"/>
                <w:sz w:val="17"/>
              </w:rPr>
              <w:t>Development sculpts</w:t>
            </w:r>
          </w:p>
        </w:tc>
        <w:tc>
          <w:tcPr>
            <w:tcW w:type="dxa" w:w="2613"/>
            <w:shd w:fill="E9F4ED"/>
            <w:vAlign w:val="center"/>
            <w:tcMar>
              <w:top w:w="90" w:type="dxa"/>
              <w:start w:w="110" w:type="dxa"/>
              <w:bottom w:w="90" w:type="dxa"/>
              <w:end w:w="110" w:type="dxa"/>
            </w:tcMar>
          </w:tcPr>
          <w:p>
            <w:pPr>
              <w:spacing w:after="0"/>
              <w:jc w:val="center"/>
            </w:pPr>
            <w:r/>
            <w:r>
              <w:rPr>
                <w:rFonts w:ascii="Aptos" w:hAnsi="Aptos"/>
                <w:b/>
                <w:color w:val="06140F"/>
                <w:sz w:val="17"/>
              </w:rPr>
              <w:t>Cells move</w:t>
            </w:r>
          </w:p>
        </w:tc>
        <w:tc>
          <w:tcPr>
            <w:tcW w:type="dxa" w:w="2613"/>
            <w:shd w:fill="E9F4ED"/>
            <w:vAlign w:val="center"/>
            <w:tcMar>
              <w:top w:w="90" w:type="dxa"/>
              <w:start w:w="110" w:type="dxa"/>
              <w:bottom w:w="90" w:type="dxa"/>
              <w:end w:w="110" w:type="dxa"/>
            </w:tcMar>
          </w:tcPr>
          <w:p>
            <w:pPr>
              <w:spacing w:after="0"/>
              <w:jc w:val="center"/>
            </w:pPr>
            <w:r/>
            <w:r>
              <w:rPr>
                <w:rFonts w:ascii="Aptos" w:hAnsi="Aptos"/>
                <w:b/>
                <w:color w:val="06140F"/>
                <w:sz w:val="17"/>
              </w:rPr>
              <w:t>Development can go wrong</w:t>
            </w:r>
          </w:p>
        </w:tc>
      </w:tr>
    </w:tbl>
    <w:p>
      <w:pPr>
        <w:pStyle w:val="Heading1"/>
      </w:pPr>
      <w:r>
        <w:t>1. Observe the analogy before naming the biology</w:t>
      </w:r>
    </w:p>
    <w:p>
      <w:pPr>
        <w:spacing w:after="40"/>
        <w:jc w:val="center"/>
      </w:pPr>
      <w:r>
        <w:drawing>
          <wp:inline xmlns:a="http://schemas.openxmlformats.org/drawingml/2006/main" xmlns:pic="http://schemas.openxmlformats.org/drawingml/2006/picture">
            <wp:extent cx="3108960" cy="3108960"/>
            <wp:docPr id="1" name="Picture 1"/>
            <wp:cNvGraphicFramePr>
              <a:graphicFrameLocks noChangeAspect="1"/>
            </wp:cNvGraphicFramePr>
            <a:graphic>
              <a:graphicData uri="http://schemas.openxmlformats.org/drawingml/2006/picture">
                <pic:pic>
                  <pic:nvPicPr>
                    <pic:cNvPr id="0" name="image.jpg"/>
                    <pic:cNvPicPr/>
                  </pic:nvPicPr>
                  <pic:blipFill>
                    <a:blip r:embed="rId11"/>
                    <a:stretch>
                      <a:fillRect/>
                    </a:stretch>
                  </pic:blipFill>
                  <pic:spPr>
                    <a:xfrm>
                      <a:off x="0" y="0"/>
                      <a:ext cx="3108960" cy="3108960"/>
                    </a:xfrm>
                    <a:prstGeom prst="rect"/>
                  </pic:spPr>
                </pic:pic>
              </a:graphicData>
            </a:graphic>
          </wp:inline>
        </w:drawing>
      </w:r>
    </w:p>
    <w:p>
      <w:pPr>
        <w:spacing w:after="100"/>
        <w:jc w:val="center"/>
      </w:pPr>
      <w:r>
        <w:rPr>
          <w:rFonts w:ascii="Aptos" w:hAnsi="Aptos"/>
          <w:i/>
          <w:color w:val="5C6F65"/>
          <w:sz w:val="15"/>
        </w:rPr>
        <w:t>Illustration: Two stage platforms extend toward the center</w:t>
      </w:r>
    </w:p>
    <w:p>
      <w:pPr>
        <w:spacing w:after="40"/>
      </w:pPr>
      <w:r>
        <w:rPr>
          <w:b/>
          <w:color w:val="2FD27A"/>
        </w:rPr>
        <w:t xml:space="preserve">1. </w:t>
      </w:r>
      <w:r>
        <w:rPr>
          <w:sz w:val="20"/>
        </w:rPr>
        <w:t>What determines whether the platforms can meet?</w:t>
      </w:r>
    </w:p>
    <w:p>
      <w:pPr>
        <w:spacing w:after="20"/>
      </w:pPr>
      <w:r>
        <w:rPr>
          <w:color w:val="B8C9C0"/>
          <w:sz w:val="16"/>
        </w:rPr>
        <w:t>________________________________________________________________________________</w:t>
      </w:r>
    </w:p>
    <w:p>
      <w:pPr>
        <w:spacing w:after="40"/>
      </w:pPr>
      <w:r>
        <w:rPr>
          <w:b/>
          <w:color w:val="2FD27A"/>
        </w:rPr>
        <w:t xml:space="preserve">2. </w:t>
      </w:r>
      <w:r>
        <w:rPr>
          <w:sz w:val="20"/>
        </w:rPr>
        <w:t>What would a short platform leave at the center?</w:t>
      </w:r>
    </w:p>
    <w:p>
      <w:pPr>
        <w:spacing w:after="20"/>
      </w:pPr>
      <w:r>
        <w:rPr>
          <w:color w:val="B8C9C0"/>
          <w:sz w:val="16"/>
        </w:rPr>
        <w:t>________________________________________________________________________________</w:t>
      </w:r>
    </w:p>
    <w:p>
      <w:pPr>
        <w:spacing w:after="40"/>
      </w:pPr>
      <w:r>
        <w:rPr>
          <w:b/>
          <w:color w:val="2FD27A"/>
        </w:rPr>
        <w:t xml:space="preserve">3. </w:t>
      </w:r>
      <w:r>
        <w:rPr>
          <w:sz w:val="20"/>
        </w:rPr>
        <w:t>Why must both sides be measured?</w:t>
      </w:r>
    </w:p>
    <w:p>
      <w:pPr>
        <w:spacing w:after="20"/>
      </w:pPr>
      <w:r>
        <w:rPr>
          <w:color w:val="B8C9C0"/>
          <w:sz w:val="16"/>
        </w:rPr>
        <w:t>________________________________________________________________________________</w:t>
      </w:r>
    </w:p>
    <w:p>
      <w:r>
        <w:br w:type="page"/>
      </w:r>
    </w:p>
    <w:p>
      <w:pPr>
        <w:spacing w:after="60"/>
      </w:pPr>
      <w:r>
        <w:rPr>
          <w:rFonts w:ascii="Aptos" w:hAnsi="Aptos"/>
          <w:b/>
          <w:color w:val="2FD27A"/>
          <w:sz w:val="16"/>
        </w:rPr>
        <w:t>DEVELOPMENTAL LESSON 6 | RULES AND BIOLOGY MAPPING</w:t>
      </w:r>
    </w:p>
    <w:tbl>
      <w:tblPr>
        <w:tblW w:type="auto" w:w="0"/>
        <w:jc w:val="center"/>
        <w:tblLayout w:type="fixed"/>
        <w:tblLook w:firstColumn="1" w:firstRow="1" w:lastColumn="0" w:lastRow="0" w:noHBand="0" w:noVBand="1" w:val="04A0"/>
      </w:tblPr>
      <w:tblGrid>
        <w:gridCol w:w="10339"/>
      </w:tblGrid>
      <w:tr>
        <w:tc>
          <w:tcPr>
            <w:tcW w:type="dxa" w:w="10454"/>
            <w:shd w:fill="06140F"/>
            <w:vAlign w:val="center"/>
            <w:tcMar>
              <w:top w:w="90" w:type="dxa"/>
              <w:start w:w="110" w:type="dxa"/>
              <w:bottom w:w="90" w:type="dxa"/>
              <w:end w:w="110" w:type="dxa"/>
            </w:tcMar>
          </w:tcPr>
          <w:p>
            <w:pPr>
              <w:spacing w:after="0"/>
              <w:jc w:val="left"/>
            </w:pPr>
            <w:r/>
            <w:r>
              <w:rPr>
                <w:rFonts w:ascii="Aptos" w:hAnsi="Aptos"/>
                <w:b/>
                <w:color w:val="F7F3E8"/>
                <w:sz w:val="20"/>
              </w:rPr>
              <w:t>2. Turn observations into rules</w:t>
            </w:r>
          </w:p>
        </w:tc>
      </w:tr>
    </w:tbl>
    <w:p>
      <w:pPr>
        <w:spacing w:after="0"/>
      </w:pPr>
    </w:p>
    <w:p>
      <w:pPr>
        <w:spacing w:after="40"/>
      </w:pPr>
      <w:r>
        <w:rPr>
          <w:b/>
          <w:color w:val="2FD27A"/>
        </w:rPr>
        <w:t xml:space="preserve">1. </w:t>
      </w:r>
      <w:r>
        <w:rPr>
          <w:sz w:val="20"/>
        </w:rPr>
        <w:t>Rule 1: Growth creates the material needed for contact. Explain it in your own words.</w:t>
      </w:r>
    </w:p>
    <w:p>
      <w:pPr>
        <w:spacing w:after="20"/>
      </w:pPr>
      <w:r>
        <w:rPr>
          <w:color w:val="B8C9C0"/>
          <w:sz w:val="16"/>
        </w:rPr>
        <w:t>________________________________________________________________________________</w:t>
      </w:r>
    </w:p>
    <w:p>
      <w:pPr>
        <w:spacing w:after="40"/>
      </w:pPr>
      <w:r>
        <w:rPr>
          <w:b/>
          <w:color w:val="2FD27A"/>
        </w:rPr>
        <w:t xml:space="preserve">2. </w:t>
      </w:r>
      <w:r>
        <w:rPr>
          <w:sz w:val="20"/>
        </w:rPr>
        <w:t>Rule 2: Paired structures must reach a shared target. Explain it in your own words.</w:t>
      </w:r>
    </w:p>
    <w:p>
      <w:pPr>
        <w:spacing w:after="20"/>
      </w:pPr>
      <w:r>
        <w:rPr>
          <w:color w:val="B8C9C0"/>
          <w:sz w:val="16"/>
        </w:rPr>
        <w:t>________________________________________________________________________________</w:t>
      </w:r>
    </w:p>
    <w:p>
      <w:pPr>
        <w:spacing w:after="40"/>
      </w:pPr>
      <w:r>
        <w:rPr>
          <w:b/>
          <w:color w:val="2FD27A"/>
        </w:rPr>
        <w:t xml:space="preserve">3. </w:t>
      </w:r>
      <w:r>
        <w:rPr>
          <w:sz w:val="20"/>
        </w:rPr>
        <w:t>Rule 3: A rescue can test whether missing growth caused the gap. Explain it in your own words.</w:t>
      </w:r>
    </w:p>
    <w:p>
      <w:pPr>
        <w:spacing w:after="20"/>
      </w:pPr>
      <w:r>
        <w:rPr>
          <w:color w:val="B8C9C0"/>
          <w:sz w:val="16"/>
        </w:rPr>
        <w:t>________________________________________________________________________________</w:t>
      </w:r>
    </w:p>
    <w:p>
      <w:r>
        <w:rPr>
          <w:b/>
          <w:color w:val="F5C542"/>
        </w:rPr>
        <w:t xml:space="preserve">Where the analogy stops: </w:t>
      </w:r>
      <w:r>
        <w:t>Palatal shelves are living tissues with patterned growth, not mechanical platforms.</w:t>
      </w:r>
    </w:p>
    <w:p>
      <w:pPr>
        <w:pStyle w:val="Heading1"/>
      </w:pPr>
      <w:r>
        <w:t>3. Map the rules onto the biomedical example</w:t>
      </w:r>
    </w:p>
    <w:p>
      <w:pPr>
        <w:spacing w:after="40"/>
        <w:jc w:val="center"/>
      </w:pPr>
      <w:r>
        <w:drawing>
          <wp:inline xmlns:a="http://schemas.openxmlformats.org/drawingml/2006/main" xmlns:pic="http://schemas.openxmlformats.org/drawingml/2006/picture">
            <wp:extent cx="3063240" cy="3063240"/>
            <wp:docPr id="2" name="Picture 2"/>
            <wp:cNvGraphicFramePr>
              <a:graphicFrameLocks noChangeAspect="1"/>
            </wp:cNvGraphicFramePr>
            <a:graphic>
              <a:graphicData uri="http://schemas.openxmlformats.org/drawingml/2006/picture">
                <pic:pic>
                  <pic:nvPicPr>
                    <pic:cNvPr id="0" name="image.jpg"/>
                    <pic:cNvPicPr/>
                  </pic:nvPicPr>
                  <pic:blipFill>
                    <a:blip r:embed="rId12"/>
                    <a:stretch>
                      <a:fillRect/>
                    </a:stretch>
                  </pic:blipFill>
                  <pic:spPr>
                    <a:xfrm>
                      <a:off x="0" y="0"/>
                      <a:ext cx="3063240" cy="3063240"/>
                    </a:xfrm>
                    <a:prstGeom prst="rect"/>
                  </pic:spPr>
                </pic:pic>
              </a:graphicData>
            </a:graphic>
          </wp:inline>
        </w:drawing>
      </w:r>
    </w:p>
    <w:p>
      <w:pPr>
        <w:spacing w:after="100"/>
        <w:jc w:val="center"/>
      </w:pPr>
      <w:r>
        <w:rPr>
          <w:rFonts w:ascii="Aptos" w:hAnsi="Aptos"/>
          <w:i/>
          <w:color w:val="5C6F65"/>
          <w:sz w:val="15"/>
        </w:rPr>
        <w:t>Biomedical teaching illustration: Connect cell proliferation to palatal shelf length</w:t>
      </w:r>
    </w:p>
    <w:tbl>
      <w:tblPr>
        <w:tblStyle w:val="TableGrid"/>
        <w:tblW w:type="auto" w:w="0"/>
        <w:jc w:val="center"/>
        <w:tblLook w:firstColumn="1" w:firstRow="1" w:lastColumn="0" w:lastRow="0" w:noHBand="0" w:noVBand="1" w:val="04A0"/>
      </w:tblPr>
      <w:tblGrid>
        <w:gridCol w:w="3485"/>
        <w:gridCol w:w="3485"/>
        <w:gridCol w:w="3485"/>
      </w:tblGrid>
      <w:tr>
        <w:tc>
          <w:tcPr>
            <w:tcW w:type="dxa" w:w="3485"/>
            <w:shd w:fill="123426"/>
            <w:vAlign w:val="center"/>
            <w:tcMar>
              <w:top w:w="90" w:type="dxa"/>
              <w:start w:w="110" w:type="dxa"/>
              <w:bottom w:w="90" w:type="dxa"/>
              <w:end w:w="110" w:type="dxa"/>
            </w:tcMar>
          </w:tcPr>
          <w:p>
            <w:pPr>
              <w:spacing w:after="0"/>
              <w:jc w:val="left"/>
            </w:pPr>
            <w:r/>
            <w:r>
              <w:rPr>
                <w:rFonts w:ascii="Aptos" w:hAnsi="Aptos"/>
                <w:b/>
                <w:color w:val="F7F3E8"/>
                <w:sz w:val="17"/>
              </w:rPr>
              <w:t>Analogy step</w:t>
            </w:r>
          </w:p>
        </w:tc>
        <w:tc>
          <w:tcPr>
            <w:tcW w:type="dxa" w:w="3485"/>
            <w:shd w:fill="123426"/>
            <w:vAlign w:val="center"/>
            <w:tcMar>
              <w:top w:w="90" w:type="dxa"/>
              <w:start w:w="110" w:type="dxa"/>
              <w:bottom w:w="90" w:type="dxa"/>
              <w:end w:w="110" w:type="dxa"/>
            </w:tcMar>
          </w:tcPr>
          <w:p>
            <w:pPr>
              <w:spacing w:after="0"/>
              <w:jc w:val="left"/>
            </w:pPr>
            <w:r/>
            <w:r>
              <w:rPr>
                <w:rFonts w:ascii="Aptos" w:hAnsi="Aptos"/>
                <w:b/>
                <w:color w:val="F7F3E8"/>
                <w:sz w:val="17"/>
              </w:rPr>
              <w:t>Biology step</w:t>
            </w:r>
          </w:p>
        </w:tc>
        <w:tc>
          <w:tcPr>
            <w:tcW w:type="dxa" w:w="3485"/>
            <w:shd w:fill="123426"/>
            <w:vAlign w:val="center"/>
            <w:tcMar>
              <w:top w:w="90" w:type="dxa"/>
              <w:start w:w="110" w:type="dxa"/>
              <w:bottom w:w="90" w:type="dxa"/>
              <w:end w:w="110" w:type="dxa"/>
            </w:tcMar>
          </w:tcPr>
          <w:p>
            <w:pPr>
              <w:spacing w:after="0"/>
              <w:jc w:val="left"/>
            </w:pPr>
            <w:r/>
            <w:r>
              <w:rPr>
                <w:rFonts w:ascii="Aptos" w:hAnsi="Aptos"/>
                <w:b/>
                <w:color w:val="F7F3E8"/>
                <w:sz w:val="17"/>
              </w:rPr>
              <w:t>How the relationship stays the same</w:t>
            </w:r>
          </w:p>
        </w:tc>
      </w:tr>
      <w:tr>
        <w:tc>
          <w:tcPr>
            <w:tcW w:type="dxa" w:w="3485"/>
            <w:vAlign w:val="center"/>
            <w:tcMar>
              <w:top w:w="90" w:type="dxa"/>
              <w:start w:w="110" w:type="dxa"/>
              <w:bottom w:w="90" w:type="dxa"/>
              <w:end w:w="110" w:type="dxa"/>
            </w:tcMar>
          </w:tcPr>
          <w:p>
            <w:pPr>
              <w:spacing w:after="0"/>
              <w:jc w:val="left"/>
            </w:pPr>
            <w:r/>
            <w:r>
              <w:rPr>
                <w:rFonts w:ascii="Aptos" w:hAnsi="Aptos"/>
                <w:b/>
                <w:color w:val="06140F"/>
                <w:sz w:val="17"/>
              </w:rPr>
              <w:t>Extend the platform</w:t>
            </w:r>
          </w:p>
        </w:tc>
        <w:tc>
          <w:tcPr>
            <w:tcW w:type="dxa" w:w="3485"/>
            <w:vAlign w:val="center"/>
            <w:tcMar>
              <w:top w:w="90" w:type="dxa"/>
              <w:start w:w="110" w:type="dxa"/>
              <w:bottom w:w="90" w:type="dxa"/>
              <w:end w:w="110" w:type="dxa"/>
            </w:tcMar>
          </w:tcPr>
          <w:p>
            <w:pPr>
              <w:spacing w:after="0"/>
              <w:jc w:val="left"/>
            </w:pPr>
            <w:r/>
            <w:r>
              <w:rPr>
                <w:rFonts w:ascii="Aptos" w:hAnsi="Aptos"/>
                <w:b w:val="0"/>
                <w:color w:val="06140F"/>
                <w:sz w:val="17"/>
              </w:rPr>
              <w:t>Mesenchymal cell proliferation</w:t>
            </w:r>
          </w:p>
        </w:tc>
        <w:tc>
          <w:tcPr>
            <w:tcW w:type="dxa" w:w="3485"/>
            <w:vAlign w:val="center"/>
            <w:tcMar>
              <w:top w:w="90" w:type="dxa"/>
              <w:start w:w="110" w:type="dxa"/>
              <w:bottom w:w="90" w:type="dxa"/>
              <w:end w:w="110" w:type="dxa"/>
            </w:tcMar>
          </w:tcPr>
          <w:p>
            <w:pPr>
              <w:spacing w:after="0"/>
              <w:jc w:val="left"/>
            </w:pPr>
            <w:r/>
            <w:r>
              <w:rPr>
                <w:rFonts w:ascii="Aptos" w:hAnsi="Aptos"/>
                <w:b w:val="0"/>
                <w:color w:val="5C6F65"/>
                <w:sz w:val="17"/>
              </w:rPr>
              <w:t>________________________________</w:t>
            </w:r>
          </w:p>
        </w:tc>
      </w:tr>
      <w:tr>
        <w:tc>
          <w:tcPr>
            <w:tcW w:type="dxa" w:w="3485"/>
            <w:vAlign w:val="center"/>
            <w:tcMar>
              <w:top w:w="90" w:type="dxa"/>
              <w:start w:w="110" w:type="dxa"/>
              <w:bottom w:w="90" w:type="dxa"/>
              <w:end w:w="110" w:type="dxa"/>
            </w:tcMar>
          </w:tcPr>
          <w:p>
            <w:pPr>
              <w:spacing w:after="0"/>
              <w:jc w:val="left"/>
            </w:pPr>
            <w:r/>
            <w:r>
              <w:rPr>
                <w:rFonts w:ascii="Aptos" w:hAnsi="Aptos"/>
                <w:b/>
                <w:color w:val="06140F"/>
                <w:sz w:val="17"/>
              </w:rPr>
              <w:t>Reach center stage</w:t>
            </w:r>
          </w:p>
        </w:tc>
        <w:tc>
          <w:tcPr>
            <w:tcW w:type="dxa" w:w="3485"/>
            <w:vAlign w:val="center"/>
            <w:tcMar>
              <w:top w:w="90" w:type="dxa"/>
              <w:start w:w="110" w:type="dxa"/>
              <w:bottom w:w="90" w:type="dxa"/>
              <w:end w:w="110" w:type="dxa"/>
            </w:tcMar>
          </w:tcPr>
          <w:p>
            <w:pPr>
              <w:spacing w:after="0"/>
              <w:jc w:val="left"/>
            </w:pPr>
            <w:r/>
            <w:r>
              <w:rPr>
                <w:rFonts w:ascii="Aptos" w:hAnsi="Aptos"/>
                <w:b w:val="0"/>
                <w:color w:val="06140F"/>
                <w:sz w:val="17"/>
              </w:rPr>
              <w:t>Shelf contact at the midline</w:t>
            </w:r>
          </w:p>
        </w:tc>
        <w:tc>
          <w:tcPr>
            <w:tcW w:type="dxa" w:w="3485"/>
            <w:vAlign w:val="center"/>
            <w:tcMar>
              <w:top w:w="90" w:type="dxa"/>
              <w:start w:w="110" w:type="dxa"/>
              <w:bottom w:w="90" w:type="dxa"/>
              <w:end w:w="110" w:type="dxa"/>
            </w:tcMar>
          </w:tcPr>
          <w:p>
            <w:pPr>
              <w:spacing w:after="0"/>
              <w:jc w:val="left"/>
            </w:pPr>
            <w:r/>
            <w:r>
              <w:rPr>
                <w:rFonts w:ascii="Aptos" w:hAnsi="Aptos"/>
                <w:b w:val="0"/>
                <w:color w:val="5C6F65"/>
                <w:sz w:val="17"/>
              </w:rPr>
              <w:t>________________________________</w:t>
            </w:r>
          </w:p>
        </w:tc>
      </w:tr>
      <w:tr>
        <w:tc>
          <w:tcPr>
            <w:tcW w:type="dxa" w:w="3485"/>
            <w:vAlign w:val="center"/>
            <w:tcMar>
              <w:top w:w="90" w:type="dxa"/>
              <w:start w:w="110" w:type="dxa"/>
              <w:bottom w:w="90" w:type="dxa"/>
              <w:end w:w="110" w:type="dxa"/>
            </w:tcMar>
          </w:tcPr>
          <w:p>
            <w:pPr>
              <w:spacing w:after="0"/>
              <w:jc w:val="left"/>
            </w:pPr>
            <w:r/>
            <w:r>
              <w:rPr>
                <w:rFonts w:ascii="Aptos" w:hAnsi="Aptos"/>
                <w:b/>
                <w:color w:val="06140F"/>
                <w:sz w:val="17"/>
              </w:rPr>
              <w:t>Restore the extension motor</w:t>
            </w:r>
          </w:p>
        </w:tc>
        <w:tc>
          <w:tcPr>
            <w:tcW w:type="dxa" w:w="3485"/>
            <w:vAlign w:val="center"/>
            <w:tcMar>
              <w:top w:w="90" w:type="dxa"/>
              <w:start w:w="110" w:type="dxa"/>
              <w:bottom w:w="90" w:type="dxa"/>
              <w:end w:w="110" w:type="dxa"/>
            </w:tcMar>
          </w:tcPr>
          <w:p>
            <w:pPr>
              <w:spacing w:after="0"/>
              <w:jc w:val="left"/>
            </w:pPr>
            <w:r/>
            <w:r>
              <w:rPr>
                <w:rFonts w:ascii="Aptos" w:hAnsi="Aptos"/>
                <w:b w:val="0"/>
                <w:color w:val="06140F"/>
                <w:sz w:val="17"/>
              </w:rPr>
              <w:t>BMP4 rescue in an Msx1-deficient mouse model</w:t>
            </w:r>
          </w:p>
        </w:tc>
        <w:tc>
          <w:tcPr>
            <w:tcW w:type="dxa" w:w="3485"/>
            <w:vAlign w:val="center"/>
            <w:tcMar>
              <w:top w:w="90" w:type="dxa"/>
              <w:start w:w="110" w:type="dxa"/>
              <w:bottom w:w="90" w:type="dxa"/>
              <w:end w:w="110" w:type="dxa"/>
            </w:tcMar>
          </w:tcPr>
          <w:p>
            <w:pPr>
              <w:spacing w:after="0"/>
              <w:jc w:val="left"/>
            </w:pPr>
            <w:r/>
            <w:r>
              <w:rPr>
                <w:rFonts w:ascii="Aptos" w:hAnsi="Aptos"/>
                <w:b w:val="0"/>
                <w:color w:val="5C6F65"/>
                <w:sz w:val="17"/>
              </w:rPr>
              <w:t>________________________________</w:t>
            </w:r>
          </w:p>
        </w:tc>
      </w:tr>
    </w:tbl>
    <w:p>
      <w:r>
        <w:br w:type="page"/>
      </w:r>
    </w:p>
    <w:p>
      <w:pPr>
        <w:spacing w:after="60"/>
      </w:pPr>
      <w:r>
        <w:rPr>
          <w:rFonts w:ascii="Aptos" w:hAnsi="Aptos"/>
          <w:b/>
          <w:color w:val="2FD27A"/>
          <w:sz w:val="16"/>
        </w:rPr>
        <w:t>DEVELOPMENTAL LESSON 6 | CASE FILE AND DECISION</w:t>
      </w:r>
    </w:p>
    <w:tbl>
      <w:tblPr>
        <w:tblW w:type="auto" w:w="0"/>
        <w:jc w:val="center"/>
        <w:tblLayout w:type="fixed"/>
        <w:tblLook w:firstColumn="1" w:firstRow="1" w:lastColumn="0" w:lastRow="0" w:noHBand="0" w:noVBand="1" w:val="04A0"/>
      </w:tblPr>
      <w:tblGrid>
        <w:gridCol w:w="10339"/>
      </w:tblGrid>
      <w:tr>
        <w:tc>
          <w:tcPr>
            <w:tcW w:type="dxa" w:w="10454"/>
            <w:shd w:fill="06140F"/>
            <w:vAlign w:val="center"/>
            <w:tcMar>
              <w:top w:w="90" w:type="dxa"/>
              <w:start w:w="110" w:type="dxa"/>
              <w:bottom w:w="90" w:type="dxa"/>
              <w:end w:w="110" w:type="dxa"/>
            </w:tcMar>
          </w:tcPr>
          <w:p>
            <w:pPr>
              <w:spacing w:after="0"/>
              <w:jc w:val="left"/>
            </w:pPr>
            <w:r/>
            <w:r>
              <w:rPr>
                <w:rFonts w:ascii="Aptos" w:hAnsi="Aptos"/>
                <w:b/>
                <w:color w:val="F7F3E8"/>
                <w:sz w:val="20"/>
              </w:rPr>
              <w:t>4. Use the case evidence</w:t>
            </w:r>
          </w:p>
        </w:tc>
      </w:tr>
    </w:tbl>
    <w:p>
      <w:pPr>
        <w:spacing w:after="0"/>
      </w:pPr>
    </w:p>
    <w:tbl>
      <w:tblPr>
        <w:tblStyle w:val="TableGrid"/>
        <w:tblW w:type="auto" w:w="0"/>
        <w:jc w:val="center"/>
        <w:tblLayout w:type="fixed"/>
        <w:tblLook w:firstColumn="1" w:firstRow="1" w:lastColumn="0" w:lastRow="0" w:noHBand="0" w:noVBand="1" w:val="04A0"/>
      </w:tblPr>
      <w:tblGrid>
        <w:gridCol w:w="3485"/>
        <w:gridCol w:w="3485"/>
        <w:gridCol w:w="3485"/>
      </w:tblGrid>
      <w:tr>
        <w:trPr>
          <w:tblHeader w:val="true"/>
        </w:trPr>
        <w:tc>
          <w:tcPr>
            <w:tcW w:type="dxa" w:w="1080"/>
            <w:shd w:fill="123426"/>
            <w:vAlign w:val="center"/>
            <w:tcMar>
              <w:top w:w="90" w:type="dxa"/>
              <w:start w:w="110" w:type="dxa"/>
              <w:bottom w:w="90" w:type="dxa"/>
              <w:end w:w="110" w:type="dxa"/>
            </w:tcMar>
          </w:tcPr>
          <w:p>
            <w:pPr>
              <w:spacing w:after="0"/>
              <w:jc w:val="left"/>
            </w:pPr>
            <w:r/>
            <w:r>
              <w:rPr>
                <w:rFonts w:ascii="Aptos" w:hAnsi="Aptos"/>
                <w:b/>
                <w:color w:val="F7F3E8"/>
                <w:sz w:val="17"/>
              </w:rPr>
              <w:t>ID</w:t>
            </w:r>
          </w:p>
        </w:tc>
        <w:tc>
          <w:tcPr>
            <w:tcW w:type="dxa" w:w="4536"/>
            <w:shd w:fill="123426"/>
            <w:vAlign w:val="center"/>
            <w:tcMar>
              <w:top w:w="90" w:type="dxa"/>
              <w:start w:w="110" w:type="dxa"/>
              <w:bottom w:w="90" w:type="dxa"/>
              <w:end w:w="110" w:type="dxa"/>
            </w:tcMar>
          </w:tcPr>
          <w:p>
            <w:pPr>
              <w:spacing w:after="0"/>
              <w:jc w:val="left"/>
            </w:pPr>
            <w:r/>
            <w:r>
              <w:rPr>
                <w:rFonts w:ascii="Aptos" w:hAnsi="Aptos"/>
                <w:b/>
                <w:color w:val="F7F3E8"/>
                <w:sz w:val="17"/>
              </w:rPr>
              <w:t>Finding supplied in the case</w:t>
            </w:r>
          </w:p>
        </w:tc>
        <w:tc>
          <w:tcPr>
            <w:tcW w:type="dxa" w:w="4536"/>
            <w:shd w:fill="123426"/>
            <w:vAlign w:val="center"/>
            <w:tcMar>
              <w:top w:w="90" w:type="dxa"/>
              <w:start w:w="110" w:type="dxa"/>
              <w:bottom w:w="90" w:type="dxa"/>
              <w:end w:w="110" w:type="dxa"/>
            </w:tcMar>
          </w:tcPr>
          <w:p>
            <w:pPr>
              <w:spacing w:after="0"/>
              <w:jc w:val="left"/>
            </w:pPr>
            <w:r/>
            <w:r>
              <w:rPr>
                <w:rFonts w:ascii="Aptos" w:hAnsi="Aptos"/>
                <w:b/>
                <w:color w:val="F7F3E8"/>
                <w:sz w:val="17"/>
              </w:rPr>
              <w:t>Why it matters</w:t>
            </w:r>
          </w:p>
        </w:tc>
      </w:tr>
      <w:tr>
        <w:tc>
          <w:tcPr>
            <w:tcW w:type="dxa" w:w="3485"/>
            <w:shd w:fill="E9F4ED"/>
            <w:vAlign w:val="center"/>
            <w:tcMar>
              <w:top w:w="90" w:type="dxa"/>
              <w:start w:w="110" w:type="dxa"/>
              <w:bottom w:w="90" w:type="dxa"/>
              <w:end w:w="110" w:type="dxa"/>
            </w:tcMar>
          </w:tcPr>
          <w:p>
            <w:pPr>
              <w:spacing w:after="0"/>
              <w:jc w:val="left"/>
            </w:pPr>
            <w:r/>
            <w:r>
              <w:rPr>
                <w:rFonts w:ascii="Aptos" w:hAnsi="Aptos"/>
                <w:b/>
                <w:color w:val="2FD27A"/>
                <w:sz w:val="17"/>
              </w:rPr>
              <w:t>DEV06-E1</w:t>
            </w:r>
          </w:p>
        </w:tc>
        <w:tc>
          <w:tcPr>
            <w:tcW w:type="dxa" w:w="3485"/>
            <w:shd w:fill="E9F4ED"/>
            <w:vAlign w:val="center"/>
            <w:tcMar>
              <w:top w:w="90" w:type="dxa"/>
              <w:start w:w="110" w:type="dxa"/>
              <w:bottom w:w="90" w:type="dxa"/>
              <w:end w:w="110" w:type="dxa"/>
            </w:tcMar>
          </w:tcPr>
          <w:p>
            <w:pPr>
              <w:spacing w:after="0"/>
              <w:jc w:val="left"/>
            </w:pPr>
            <w:r/>
            <w:r>
              <w:rPr>
                <w:rFonts w:ascii="Aptos" w:hAnsi="Aptos"/>
                <w:b w:val="0"/>
                <w:color w:val="06140F"/>
                <w:sz w:val="17"/>
              </w:rPr>
              <w:t>Secondary palatal shelves grow from the inner sides of the maxillary regions.</w:t>
            </w:r>
          </w:p>
        </w:tc>
        <w:tc>
          <w:tcPr>
            <w:tcW w:type="dxa" w:w="3485"/>
            <w:shd w:fill="E9F4ED"/>
            <w:vAlign w:val="center"/>
            <w:tcMar>
              <w:top w:w="90" w:type="dxa"/>
              <w:start w:w="110" w:type="dxa"/>
              <w:bottom w:w="90" w:type="dxa"/>
              <w:end w:w="110" w:type="dxa"/>
            </w:tcMar>
          </w:tcPr>
          <w:p>
            <w:pPr>
              <w:spacing w:after="0"/>
              <w:jc w:val="left"/>
            </w:pPr>
            <w:r/>
            <w:r>
              <w:rPr>
                <w:rFonts w:ascii="Aptos" w:hAnsi="Aptos"/>
                <w:b w:val="0"/>
                <w:color w:val="06140F"/>
                <w:sz w:val="17"/>
              </w:rPr>
              <w:t>The palate begins as paired outgrowths.</w:t>
            </w:r>
          </w:p>
        </w:tc>
      </w:tr>
      <w:tr>
        <w:tc>
          <w:tcPr>
            <w:tcW w:type="dxa" w:w="3485"/>
            <w:shd w:fill="FFFFFF"/>
            <w:vAlign w:val="center"/>
            <w:tcMar>
              <w:top w:w="90" w:type="dxa"/>
              <w:start w:w="110" w:type="dxa"/>
              <w:bottom w:w="90" w:type="dxa"/>
              <w:end w:w="110" w:type="dxa"/>
            </w:tcMar>
          </w:tcPr>
          <w:p>
            <w:pPr>
              <w:spacing w:after="0"/>
              <w:jc w:val="left"/>
            </w:pPr>
            <w:r/>
            <w:r>
              <w:rPr>
                <w:rFonts w:ascii="Aptos" w:hAnsi="Aptos"/>
                <w:b/>
                <w:color w:val="2FD27A"/>
                <w:sz w:val="17"/>
              </w:rPr>
              <w:t>DEV06-E2</w:t>
            </w:r>
          </w:p>
        </w:tc>
        <w:tc>
          <w:tcPr>
            <w:tcW w:type="dxa" w:w="3485"/>
            <w:shd w:fill="FFFFFF"/>
            <w:vAlign w:val="center"/>
            <w:tcMar>
              <w:top w:w="90" w:type="dxa"/>
              <w:start w:w="110" w:type="dxa"/>
              <w:bottom w:w="90" w:type="dxa"/>
              <w:end w:w="110" w:type="dxa"/>
            </w:tcMar>
          </w:tcPr>
          <w:p>
            <w:pPr>
              <w:spacing w:after="0"/>
              <w:jc w:val="left"/>
            </w:pPr>
            <w:r/>
            <w:r>
              <w:rPr>
                <w:rFonts w:ascii="Aptos" w:hAnsi="Aptos"/>
                <w:b w:val="0"/>
                <w:color w:val="06140F"/>
                <w:sz w:val="17"/>
              </w:rPr>
              <w:t>Reduced mesenchymal proliferation can leave shelves too small to meet.</w:t>
            </w:r>
          </w:p>
        </w:tc>
        <w:tc>
          <w:tcPr>
            <w:tcW w:type="dxa" w:w="3485"/>
            <w:shd w:fill="FFFFFF"/>
            <w:vAlign w:val="center"/>
            <w:tcMar>
              <w:top w:w="90" w:type="dxa"/>
              <w:start w:w="110" w:type="dxa"/>
              <w:bottom w:w="90" w:type="dxa"/>
              <w:end w:w="110" w:type="dxa"/>
            </w:tcMar>
          </w:tcPr>
          <w:p>
            <w:pPr>
              <w:spacing w:after="0"/>
              <w:jc w:val="left"/>
            </w:pPr>
            <w:r/>
            <w:r>
              <w:rPr>
                <w:rFonts w:ascii="Aptos" w:hAnsi="Aptos"/>
                <w:b w:val="0"/>
                <w:color w:val="06140F"/>
                <w:sz w:val="17"/>
              </w:rPr>
              <w:t>Cell number and shelf size are connected.</w:t>
            </w:r>
          </w:p>
        </w:tc>
      </w:tr>
      <w:tr>
        <w:tc>
          <w:tcPr>
            <w:tcW w:type="dxa" w:w="3485"/>
            <w:shd w:fill="E9F4ED"/>
            <w:vAlign w:val="center"/>
            <w:tcMar>
              <w:top w:w="90" w:type="dxa"/>
              <w:start w:w="110" w:type="dxa"/>
              <w:bottom w:w="90" w:type="dxa"/>
              <w:end w:w="110" w:type="dxa"/>
            </w:tcMar>
          </w:tcPr>
          <w:p>
            <w:pPr>
              <w:spacing w:after="0"/>
              <w:jc w:val="left"/>
            </w:pPr>
            <w:r/>
            <w:r>
              <w:rPr>
                <w:rFonts w:ascii="Aptos" w:hAnsi="Aptos"/>
                <w:b/>
                <w:color w:val="2FD27A"/>
                <w:sz w:val="17"/>
              </w:rPr>
              <w:t>DEV06-E3</w:t>
            </w:r>
          </w:p>
        </w:tc>
        <w:tc>
          <w:tcPr>
            <w:tcW w:type="dxa" w:w="3485"/>
            <w:shd w:fill="E9F4ED"/>
            <w:vAlign w:val="center"/>
            <w:tcMar>
              <w:top w:w="90" w:type="dxa"/>
              <w:start w:w="110" w:type="dxa"/>
              <w:bottom w:w="90" w:type="dxa"/>
              <w:end w:w="110" w:type="dxa"/>
            </w:tcMar>
          </w:tcPr>
          <w:p>
            <w:pPr>
              <w:spacing w:after="0"/>
              <w:jc w:val="left"/>
            </w:pPr>
            <w:r/>
            <w:r>
              <w:rPr>
                <w:rFonts w:ascii="Aptos" w:hAnsi="Aptos"/>
                <w:b w:val="0"/>
                <w:color w:val="06140F"/>
                <w:sz w:val="17"/>
              </w:rPr>
              <w:t>Directed Bmp4 expression rescued palatal growth and fusion in an Msx1-deficient mouse model.</w:t>
            </w:r>
          </w:p>
        </w:tc>
        <w:tc>
          <w:tcPr>
            <w:tcW w:type="dxa" w:w="3485"/>
            <w:shd w:fill="E9F4ED"/>
            <w:vAlign w:val="center"/>
            <w:tcMar>
              <w:top w:w="90" w:type="dxa"/>
              <w:start w:w="110" w:type="dxa"/>
              <w:bottom w:w="90" w:type="dxa"/>
              <w:end w:w="110" w:type="dxa"/>
            </w:tcMar>
          </w:tcPr>
          <w:p>
            <w:pPr>
              <w:spacing w:after="0"/>
              <w:jc w:val="left"/>
            </w:pPr>
            <w:r/>
            <w:r>
              <w:rPr>
                <w:rFonts w:ascii="Aptos" w:hAnsi="Aptos"/>
                <w:b w:val="0"/>
                <w:color w:val="06140F"/>
                <w:sz w:val="17"/>
              </w:rPr>
              <w:t>The experiment supports a growth mechanism in that model.</w:t>
            </w:r>
          </w:p>
        </w:tc>
      </w:tr>
    </w:tbl>
    <w:p>
      <w:pPr>
        <w:pStyle w:val="Heading1"/>
      </w:pPr>
      <w:r>
        <w:t>5. Make the clinical decision</w:t>
      </w:r>
    </w:p>
    <w:p>
      <w:r>
        <w:rPr>
          <w:b/>
        </w:rPr>
        <w:t xml:space="preserve">You are choosing the readout for a palatal-growth experiment. </w:t>
      </w:r>
      <w:r>
        <w:t>Control and mutant embryos are collected before shelf elevation. You can measure only one primary outcome.</w:t>
      </w:r>
    </w:p>
    <w:p>
      <w:pPr>
        <w:ind w:left="288"/>
      </w:pPr>
      <w:r>
        <w:rPr>
          <w:b/>
        </w:rPr>
        <w:t xml:space="preserve">A. </w:t>
      </w:r>
      <w:r>
        <w:t>Measure shelf size and mesenchymal proliferation on both sides.</w:t>
      </w:r>
    </w:p>
    <w:p>
      <w:pPr>
        <w:ind w:left="288"/>
      </w:pPr>
      <w:r>
        <w:rPr>
          <w:b/>
        </w:rPr>
        <w:t xml:space="preserve">B. </w:t>
      </w:r>
      <w:r>
        <w:t>Measure newborn speech before fusion occurs.</w:t>
      </w:r>
    </w:p>
    <w:p>
      <w:pPr>
        <w:ind w:left="288"/>
      </w:pPr>
      <w:r>
        <w:rPr>
          <w:b/>
        </w:rPr>
        <w:t xml:space="preserve">C. </w:t>
      </w:r>
      <w:r>
        <w:t>Claim human prevention from the mouse embryos.</w:t>
      </w:r>
    </w:p>
    <w:p>
      <w:pPr>
        <w:spacing w:after="40"/>
      </w:pPr>
      <w:r>
        <w:rPr>
          <w:b/>
          <w:color w:val="2FD27A"/>
        </w:rPr>
        <w:t xml:space="preserve">Decision. </w:t>
      </w:r>
      <w:r>
        <w:rPr>
          <w:sz w:val="20"/>
        </w:rPr>
        <w:t>Choose the primary outcome and cite the evidence linking cell growth to shelf size.</w:t>
      </w:r>
    </w:p>
    <w:p>
      <w:pPr>
        <w:spacing w:after="20"/>
      </w:pPr>
      <w:r>
        <w:rPr>
          <w:color w:val="B8C9C0"/>
          <w:sz w:val="16"/>
        </w:rPr>
        <w:t>________________________________________________________________________________</w:t>
      </w:r>
    </w:p>
    <w:p>
      <w:pPr>
        <w:spacing w:after="20"/>
      </w:pPr>
      <w:r>
        <w:rPr>
          <w:color w:val="B8C9C0"/>
          <w:sz w:val="16"/>
        </w:rPr>
        <w:t>________________________________________________________________________________</w:t>
      </w:r>
    </w:p>
    <w:p>
      <w:r>
        <w:rPr>
          <w:b/>
          <w:color w:val="F5C542"/>
        </w:rPr>
        <w:t xml:space="preserve">Claim ceiling: </w:t>
      </w:r>
      <w:r>
        <w:t>You may test a growth mechanism in the model. You may not claim a proven human treatment.</w:t>
      </w:r>
    </w:p>
    <w:p>
      <w:pPr>
        <w:spacing w:after="40"/>
      </w:pPr>
      <w:r>
        <w:rPr>
          <w:b/>
          <w:color w:val="2FD27A"/>
        </w:rPr>
        <w:t xml:space="preserve">Claim. </w:t>
      </w:r>
      <w:r>
        <w:rPr>
          <w:sz w:val="20"/>
        </w:rPr>
        <w:t>State the choice you can defend.</w:t>
      </w:r>
    </w:p>
    <w:p>
      <w:pPr>
        <w:spacing w:after="20"/>
      </w:pPr>
      <w:r>
        <w:rPr>
          <w:color w:val="B8C9C0"/>
          <w:sz w:val="16"/>
        </w:rPr>
        <w:t>________________________________________________________________________________</w:t>
      </w:r>
    </w:p>
    <w:p>
      <w:pPr>
        <w:spacing w:after="40"/>
      </w:pPr>
      <w:r>
        <w:rPr>
          <w:b/>
          <w:color w:val="2FD27A"/>
        </w:rPr>
        <w:t xml:space="preserve">Evidence. </w:t>
      </w:r>
      <w:r>
        <w:rPr>
          <w:sz w:val="20"/>
        </w:rPr>
        <w:t>Use these labeled IDs: DEV06-E1 + DEV06-E2.</w:t>
      </w:r>
    </w:p>
    <w:p>
      <w:pPr>
        <w:spacing w:after="20"/>
      </w:pPr>
      <w:r>
        <w:rPr>
          <w:color w:val="B8C9C0"/>
          <w:sz w:val="16"/>
        </w:rPr>
        <w:t>________________________________________________________________________________</w:t>
      </w:r>
    </w:p>
    <w:p>
      <w:pPr>
        <w:spacing w:after="40"/>
      </w:pPr>
      <w:r>
        <w:rPr>
          <w:b/>
          <w:color w:val="2FD27A"/>
        </w:rPr>
        <w:t xml:space="preserve">Reasoning. </w:t>
      </w:r>
      <w:r>
        <w:rPr>
          <w:sz w:val="20"/>
        </w:rPr>
        <w:t>Explain why the evidence supports the claim and stays inside the claim ceiling.</w:t>
      </w:r>
    </w:p>
    <w:p>
      <w:pPr>
        <w:spacing w:after="20"/>
      </w:pPr>
      <w:r>
        <w:rPr>
          <w:color w:val="B8C9C0"/>
          <w:sz w:val="16"/>
        </w:rPr>
        <w:t>________________________________________________________________________________</w:t>
      </w:r>
    </w:p>
    <w:p>
      <w:pPr>
        <w:spacing w:after="20"/>
      </w:pPr>
      <w:r>
        <w:rPr>
          <w:color w:val="B8C9C0"/>
          <w:sz w:val="16"/>
        </w:rPr>
        <w:t>________________________________________________________________________________</w:t>
      </w:r>
    </w:p>
    <w:p>
      <w:r>
        <w:br w:type="page"/>
      </w:r>
    </w:p>
    <w:p>
      <w:pPr>
        <w:spacing w:after="60"/>
      </w:pPr>
      <w:r>
        <w:rPr>
          <w:rFonts w:ascii="Aptos" w:hAnsi="Aptos"/>
          <w:b/>
          <w:color w:val="2FD27A"/>
          <w:sz w:val="16"/>
        </w:rPr>
        <w:t>DEVELOPMENTAL LESSON 6 | REDUCE, REFLECT, AND PREPARE</w:t>
      </w:r>
    </w:p>
    <w:tbl>
      <w:tblPr>
        <w:tblW w:type="auto" w:w="0"/>
        <w:jc w:val="center"/>
        <w:tblLayout w:type="fixed"/>
        <w:tblLook w:firstColumn="1" w:firstRow="1" w:lastColumn="0" w:lastRow="0" w:noHBand="0" w:noVBand="1" w:val="04A0"/>
      </w:tblPr>
      <w:tblGrid>
        <w:gridCol w:w="10339"/>
      </w:tblGrid>
      <w:tr>
        <w:tc>
          <w:tcPr>
            <w:tcW w:type="dxa" w:w="10454"/>
            <w:shd w:fill="2FD27A"/>
            <w:vAlign w:val="center"/>
            <w:tcMar>
              <w:top w:w="90" w:type="dxa"/>
              <w:start w:w="110" w:type="dxa"/>
              <w:bottom w:w="90" w:type="dxa"/>
              <w:end w:w="110" w:type="dxa"/>
            </w:tcMar>
          </w:tcPr>
          <w:p>
            <w:pPr>
              <w:spacing w:after="0"/>
              <w:jc w:val="left"/>
            </w:pPr>
            <w:r/>
            <w:r>
              <w:rPr>
                <w:rFonts w:ascii="Aptos" w:hAnsi="Aptos"/>
                <w:b/>
                <w:color w:val="F7F3E8"/>
                <w:sz w:val="20"/>
              </w:rPr>
              <w:t>6. Reduce the lesson to one lasting idea</w:t>
            </w:r>
          </w:p>
        </w:tc>
      </w:tr>
    </w:tbl>
    <w:p>
      <w:pPr>
        <w:spacing w:after="0"/>
      </w:pPr>
    </w:p>
    <w:p>
      <w:pPr>
        <w:spacing w:after="40"/>
      </w:pPr>
      <w:r>
        <w:rPr>
          <w:b/>
          <w:color w:val="2FD27A"/>
        </w:rPr>
        <w:t xml:space="preserve">Take-home. </w:t>
      </w:r>
      <w:r>
        <w:rPr>
          <w:sz w:val="20"/>
        </w:rPr>
        <w:t>The secondary palate begins as paired shelves whose cell growth must create enough tissue to reach the midline.</w:t>
      </w:r>
    </w:p>
    <w:p>
      <w:pPr>
        <w:spacing w:after="20"/>
      </w:pPr>
      <w:r>
        <w:rPr>
          <w:color w:val="B8C9C0"/>
          <w:sz w:val="16"/>
        </w:rPr>
        <w:t>________________________________________________________________________________</w:t>
      </w:r>
    </w:p>
    <w:p>
      <w:pPr>
        <w:spacing w:after="20"/>
      </w:pPr>
      <w:r>
        <w:rPr>
          <w:color w:val="B8C9C0"/>
          <w:sz w:val="16"/>
        </w:rPr>
        <w:t>________________________________________________________________________________</w:t>
      </w:r>
    </w:p>
    <w:p>
      <w:pPr>
        <w:spacing w:after="40"/>
      </w:pPr>
      <w:r>
        <w:rPr>
          <w:b/>
          <w:color w:val="2FD27A"/>
        </w:rPr>
        <w:t xml:space="preserve">1. </w:t>
      </w:r>
      <w:r>
        <w:rPr>
          <w:sz w:val="20"/>
        </w:rPr>
        <w:t>How can lower proliferation change shelf contact?</w:t>
      </w:r>
    </w:p>
    <w:p>
      <w:pPr>
        <w:spacing w:after="20"/>
      </w:pPr>
      <w:r>
        <w:rPr>
          <w:color w:val="B8C9C0"/>
          <w:sz w:val="16"/>
        </w:rPr>
        <w:t>________________________________________________________________________________</w:t>
      </w:r>
    </w:p>
    <w:p>
      <w:pPr>
        <w:spacing w:after="40"/>
      </w:pPr>
      <w:r>
        <w:rPr>
          <w:b/>
          <w:color w:val="2FD27A"/>
        </w:rPr>
        <w:t xml:space="preserve">2. </w:t>
      </w:r>
      <w:r>
        <w:rPr>
          <w:sz w:val="20"/>
        </w:rPr>
        <w:t>What does the Bmp4 rescue support, and what does it not prove?</w:t>
      </w:r>
    </w:p>
    <w:p>
      <w:pPr>
        <w:spacing w:after="20"/>
      </w:pPr>
      <w:r>
        <w:rPr>
          <w:color w:val="B8C9C0"/>
          <w:sz w:val="16"/>
        </w:rPr>
        <w:t>________________________________________________________________________________</w:t>
      </w:r>
    </w:p>
    <w:p>
      <w:pPr>
        <w:pStyle w:val="Heading1"/>
      </w:pPr>
      <w:r>
        <w:t>Glossary</w:t>
      </w:r>
    </w:p>
    <w:tbl>
      <w:tblPr>
        <w:tblStyle w:val="TableGrid"/>
        <w:tblW w:type="auto" w:w="0"/>
        <w:jc w:val="center"/>
        <w:tblLayout w:type="fixed"/>
        <w:tblLook w:firstColumn="1" w:firstRow="1" w:lastColumn="0" w:lastRow="0" w:noHBand="0" w:noVBand="1" w:val="04A0"/>
      </w:tblPr>
      <w:tblGrid>
        <w:gridCol w:w="5227"/>
        <w:gridCol w:w="5227"/>
      </w:tblGrid>
      <w:tr>
        <w:trPr>
          <w:tblHeader w:val="true"/>
        </w:trPr>
        <w:tc>
          <w:tcPr>
            <w:tcW w:type="dxa" w:w="2880"/>
            <w:shd w:fill="123426"/>
            <w:vAlign w:val="center"/>
            <w:tcMar>
              <w:top w:w="90" w:type="dxa"/>
              <w:start w:w="110" w:type="dxa"/>
              <w:bottom w:w="90" w:type="dxa"/>
              <w:end w:w="110" w:type="dxa"/>
            </w:tcMar>
          </w:tcPr>
          <w:p>
            <w:pPr>
              <w:spacing w:after="0"/>
              <w:jc w:val="left"/>
            </w:pPr>
            <w:r/>
            <w:r>
              <w:rPr>
                <w:rFonts w:ascii="Aptos" w:hAnsi="Aptos"/>
                <w:b/>
                <w:color w:val="F7F3E8"/>
                <w:sz w:val="17"/>
              </w:rPr>
              <w:t>Term</w:t>
            </w:r>
          </w:p>
        </w:tc>
        <w:tc>
          <w:tcPr>
            <w:tcW w:type="dxa" w:w="7272"/>
            <w:shd w:fill="123426"/>
            <w:vAlign w:val="center"/>
            <w:tcMar>
              <w:top w:w="90" w:type="dxa"/>
              <w:start w:w="110" w:type="dxa"/>
              <w:bottom w:w="90" w:type="dxa"/>
              <w:end w:w="110" w:type="dxa"/>
            </w:tcMar>
          </w:tcPr>
          <w:p>
            <w:pPr>
              <w:spacing w:after="0"/>
              <w:jc w:val="left"/>
            </w:pPr>
            <w:r/>
            <w:r>
              <w:rPr>
                <w:rFonts w:ascii="Aptos" w:hAnsi="Aptos"/>
                <w:b/>
                <w:color w:val="F7F3E8"/>
                <w:sz w:val="17"/>
              </w:rPr>
              <w:t>Plain-English definition</w:t>
            </w:r>
          </w:p>
        </w:tc>
      </w:tr>
      <w:tr>
        <w:tc>
          <w:tcPr>
            <w:tcW w:type="dxa" w:w="5227"/>
            <w:shd w:fill="E9F4ED"/>
            <w:vAlign w:val="center"/>
            <w:tcMar>
              <w:top w:w="90" w:type="dxa"/>
              <w:start w:w="110" w:type="dxa"/>
              <w:bottom w:w="90" w:type="dxa"/>
              <w:end w:w="110" w:type="dxa"/>
            </w:tcMar>
          </w:tcPr>
          <w:p>
            <w:pPr>
              <w:spacing w:after="0"/>
              <w:jc w:val="left"/>
            </w:pPr>
            <w:r/>
            <w:r>
              <w:rPr>
                <w:rFonts w:ascii="Aptos" w:hAnsi="Aptos"/>
                <w:b/>
                <w:color w:val="06140F"/>
                <w:sz w:val="17"/>
              </w:rPr>
              <w:t>secondary palate</w:t>
            </w:r>
          </w:p>
        </w:tc>
        <w:tc>
          <w:tcPr>
            <w:tcW w:type="dxa" w:w="5227"/>
            <w:vAlign w:val="center"/>
            <w:tcMar>
              <w:top w:w="90" w:type="dxa"/>
              <w:start w:w="110" w:type="dxa"/>
              <w:bottom w:w="90" w:type="dxa"/>
              <w:end w:w="110" w:type="dxa"/>
            </w:tcMar>
          </w:tcPr>
          <w:p>
            <w:pPr>
              <w:spacing w:after="0"/>
              <w:jc w:val="left"/>
            </w:pPr>
            <w:r/>
            <w:r>
              <w:rPr>
                <w:rFonts w:ascii="Aptos" w:hAnsi="Aptos"/>
                <w:b w:val="0"/>
                <w:color w:val="06140F"/>
                <w:sz w:val="17"/>
              </w:rPr>
              <w:t>A lesson term defined by the surrounding model and case evidence.</w:t>
            </w:r>
          </w:p>
        </w:tc>
      </w:tr>
      <w:tr>
        <w:tc>
          <w:tcPr>
            <w:tcW w:type="dxa" w:w="5227"/>
            <w:shd w:fill="E9F4ED"/>
            <w:vAlign w:val="center"/>
            <w:tcMar>
              <w:top w:w="90" w:type="dxa"/>
              <w:start w:w="110" w:type="dxa"/>
              <w:bottom w:w="90" w:type="dxa"/>
              <w:end w:w="110" w:type="dxa"/>
            </w:tcMar>
          </w:tcPr>
          <w:p>
            <w:pPr>
              <w:spacing w:after="0"/>
              <w:jc w:val="left"/>
            </w:pPr>
            <w:r/>
            <w:r>
              <w:rPr>
                <w:rFonts w:ascii="Aptos" w:hAnsi="Aptos"/>
                <w:b/>
                <w:color w:val="06140F"/>
                <w:sz w:val="17"/>
              </w:rPr>
              <w:t>palatal shelf</w:t>
            </w:r>
          </w:p>
        </w:tc>
        <w:tc>
          <w:tcPr>
            <w:tcW w:type="dxa" w:w="5227"/>
            <w:vAlign w:val="center"/>
            <w:tcMar>
              <w:top w:w="90" w:type="dxa"/>
              <w:start w:w="110" w:type="dxa"/>
              <w:bottom w:w="90" w:type="dxa"/>
              <w:end w:w="110" w:type="dxa"/>
            </w:tcMar>
          </w:tcPr>
          <w:p>
            <w:pPr>
              <w:spacing w:after="0"/>
              <w:jc w:val="left"/>
            </w:pPr>
            <w:r/>
            <w:r>
              <w:rPr>
                <w:rFonts w:ascii="Aptos" w:hAnsi="Aptos"/>
                <w:b w:val="0"/>
                <w:color w:val="06140F"/>
                <w:sz w:val="17"/>
              </w:rPr>
              <w:t>One of two tissue ledges in the embryo that swing up from beside the tongue to horizontal and meet at the midline to form the roof of the mouth.</w:t>
            </w:r>
          </w:p>
        </w:tc>
      </w:tr>
      <w:tr>
        <w:tc>
          <w:tcPr>
            <w:tcW w:type="dxa" w:w="5227"/>
            <w:shd w:fill="E9F4ED"/>
            <w:vAlign w:val="center"/>
            <w:tcMar>
              <w:top w:w="90" w:type="dxa"/>
              <w:start w:w="110" w:type="dxa"/>
              <w:bottom w:w="90" w:type="dxa"/>
              <w:end w:w="110" w:type="dxa"/>
            </w:tcMar>
          </w:tcPr>
          <w:p>
            <w:pPr>
              <w:spacing w:after="0"/>
              <w:jc w:val="left"/>
            </w:pPr>
            <w:r/>
            <w:r>
              <w:rPr>
                <w:rFonts w:ascii="Aptos" w:hAnsi="Aptos"/>
                <w:b/>
                <w:color w:val="06140F"/>
                <w:sz w:val="17"/>
              </w:rPr>
              <w:t>maxillary process</w:t>
            </w:r>
          </w:p>
        </w:tc>
        <w:tc>
          <w:tcPr>
            <w:tcW w:type="dxa" w:w="5227"/>
            <w:vAlign w:val="center"/>
            <w:tcMar>
              <w:top w:w="90" w:type="dxa"/>
              <w:start w:w="110" w:type="dxa"/>
              <w:bottom w:w="90" w:type="dxa"/>
              <w:end w:w="110" w:type="dxa"/>
            </w:tcMar>
          </w:tcPr>
          <w:p>
            <w:pPr>
              <w:spacing w:after="0"/>
              <w:jc w:val="left"/>
            </w:pPr>
            <w:r/>
            <w:r>
              <w:rPr>
                <w:rFonts w:ascii="Aptos" w:hAnsi="Aptos"/>
                <w:b w:val="0"/>
                <w:color w:val="06140F"/>
                <w:sz w:val="17"/>
              </w:rPr>
              <w:t>A paired bulge of embryo tissue that grows toward the midline to form the upper jaw, cheeks, and sides of the upper lip.</w:t>
            </w:r>
          </w:p>
        </w:tc>
      </w:tr>
      <w:tr>
        <w:tc>
          <w:tcPr>
            <w:tcW w:type="dxa" w:w="5227"/>
            <w:shd w:fill="E9F4ED"/>
            <w:vAlign w:val="center"/>
            <w:tcMar>
              <w:top w:w="90" w:type="dxa"/>
              <w:start w:w="110" w:type="dxa"/>
              <w:bottom w:w="90" w:type="dxa"/>
              <w:end w:w="110" w:type="dxa"/>
            </w:tcMar>
          </w:tcPr>
          <w:p>
            <w:pPr>
              <w:spacing w:after="0"/>
              <w:jc w:val="left"/>
            </w:pPr>
            <w:r/>
            <w:r>
              <w:rPr>
                <w:rFonts w:ascii="Aptos" w:hAnsi="Aptos"/>
                <w:b/>
                <w:color w:val="06140F"/>
                <w:sz w:val="17"/>
              </w:rPr>
              <w:t>mesenchyme</w:t>
            </w:r>
          </w:p>
        </w:tc>
        <w:tc>
          <w:tcPr>
            <w:tcW w:type="dxa" w:w="5227"/>
            <w:vAlign w:val="center"/>
            <w:tcMar>
              <w:top w:w="90" w:type="dxa"/>
              <w:start w:w="110" w:type="dxa"/>
              <w:bottom w:w="90" w:type="dxa"/>
              <w:end w:w="110" w:type="dxa"/>
            </w:tcMar>
          </w:tcPr>
          <w:p>
            <w:pPr>
              <w:spacing w:after="0"/>
              <w:jc w:val="left"/>
            </w:pPr>
            <w:r/>
            <w:r>
              <w:rPr>
                <w:rFonts w:ascii="Aptos" w:hAnsi="Aptos"/>
                <w:b w:val="0"/>
                <w:color w:val="06140F"/>
                <w:sz w:val="17"/>
              </w:rPr>
              <w:t>Loose, unsettled cells in a watery matrix that can crawl and later become bone, cartilage, or connective tissue.</w:t>
            </w:r>
          </w:p>
        </w:tc>
      </w:tr>
      <w:tr>
        <w:tc>
          <w:tcPr>
            <w:tcW w:type="dxa" w:w="5227"/>
            <w:shd w:fill="E9F4ED"/>
            <w:vAlign w:val="center"/>
            <w:tcMar>
              <w:top w:w="90" w:type="dxa"/>
              <w:start w:w="110" w:type="dxa"/>
              <w:bottom w:w="90" w:type="dxa"/>
              <w:end w:w="110" w:type="dxa"/>
            </w:tcMar>
          </w:tcPr>
          <w:p>
            <w:pPr>
              <w:spacing w:after="0"/>
              <w:jc w:val="left"/>
            </w:pPr>
            <w:r/>
            <w:r>
              <w:rPr>
                <w:rFonts w:ascii="Aptos" w:hAnsi="Aptos"/>
                <w:b/>
                <w:color w:val="06140F"/>
                <w:sz w:val="17"/>
              </w:rPr>
              <w:t>proliferation</w:t>
            </w:r>
          </w:p>
        </w:tc>
        <w:tc>
          <w:tcPr>
            <w:tcW w:type="dxa" w:w="5227"/>
            <w:vAlign w:val="center"/>
            <w:tcMar>
              <w:top w:w="90" w:type="dxa"/>
              <w:start w:w="110" w:type="dxa"/>
              <w:bottom w:w="90" w:type="dxa"/>
              <w:end w:w="110" w:type="dxa"/>
            </w:tcMar>
          </w:tcPr>
          <w:p>
            <w:pPr>
              <w:spacing w:after="0"/>
              <w:jc w:val="left"/>
            </w:pPr>
            <w:r/>
            <w:r>
              <w:rPr>
                <w:rFonts w:ascii="Aptos" w:hAnsi="Aptos"/>
                <w:b w:val="0"/>
                <w:color w:val="06140F"/>
                <w:sz w:val="17"/>
              </w:rPr>
              <w:t>The rapid increase in cell number as cells repeatedly grow and divide, building or repairing tissue.</w:t>
            </w:r>
          </w:p>
        </w:tc>
      </w:tr>
    </w:tbl>
    <w:p>
      <w:pPr>
        <w:pStyle w:val="Heading1"/>
      </w:pPr>
      <w:r>
        <w:t>Next lesson unlock</w:t>
      </w:r>
    </w:p>
    <w:p>
      <w:pPr>
        <w:spacing w:after="100"/>
      </w:pPr>
      <w:r>
        <w:t>The palate begins as two shelves that grow downward beside the tongue. But those shelves point straight down, with the tongue sitting between them. How do two downward shelves end up as one flat roof above the tongue? We chase that next time.</w:t>
      </w:r>
    </w:p>
    <w:p>
      <w:r>
        <w:rPr>
          <w:i/>
          <w:color w:val="5C6F65"/>
        </w:rPr>
        <w:t>The journal links on the lesson page are optional. Everything required for this guided-notes set is already supplied here and in the case file.</w:t>
      </w:r>
    </w:p>
    <w:sectPr w:rsidR="00FC693F" w:rsidRPr="0006063C" w:rsidSect="00034616">
      <w:headerReference w:type="default" r:id="rId9"/>
      <w:footerReference w:type="default" r:id="rId10"/>
      <w:pgSz w:w="12240" w:h="15840"/>
      <w:pgMar w:top="835" w:right="893" w:bottom="792" w:left="893" w:header="360" w:footer="36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right"/>
    </w:pPr>
    <w:r>
      <w:rPr>
        <w:rFonts w:ascii="Aptos" w:hAnsi="Aptos"/>
        <w:color w:val="5C6F65"/>
        <w:sz w:val="16"/>
      </w:rPr>
      <w:t xml:space="preserve">Page </w:t>
    </w:r>
    <w:fldSimple w:instr="PAGE"/>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spacing w:after="0"/>
      <w:jc w:val="left"/>
    </w:pPr>
    <w:r>
      <w:rPr>
        <w:rFonts w:ascii="Aptos" w:hAnsi="Aptos"/>
        <w:b/>
        <w:color w:val="2FD27A"/>
        <w:sz w:val="16"/>
      </w:rPr>
      <w:t>JOHN HAY BIOMEDICAL  |  THE BABY MATEO CASE</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00" w:line="259" w:lineRule="auto"/>
    </w:pPr>
    <w:rPr>
      <w:rFonts w:ascii="Aptos" w:hAnsi="Aptos"/>
      <w:color w:val="06140F"/>
      <w:sz w:val="20"/>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120" w:after="100"/>
      <w:outlineLvl w:val="0"/>
    </w:pPr>
    <w:rPr>
      <w:rFonts w:asciiTheme="majorHAnsi" w:eastAsiaTheme="majorEastAsia" w:hAnsiTheme="majorHAnsi" w:cstheme="majorBidi" w:ascii="Aptos Display" w:hAnsi="Aptos Display"/>
      <w:b/>
      <w:bCs/>
      <w:color w:val="06140F"/>
      <w:sz w:val="38"/>
      <w:szCs w:val="28"/>
    </w:rPr>
  </w:style>
  <w:style w:type="paragraph" w:styleId="Heading2">
    <w:name w:val="heading 2"/>
    <w:basedOn w:val="Normal"/>
    <w:next w:val="Normal"/>
    <w:link w:val="Heading2Char"/>
    <w:uiPriority w:val="9"/>
    <w:unhideWhenUsed/>
    <w:qFormat/>
    <w:rsid w:val="00FC693F"/>
    <w:pPr>
      <w:keepNext/>
      <w:keepLines/>
      <w:spacing w:before="120" w:after="100"/>
      <w:outlineLvl w:val="1"/>
    </w:pPr>
    <w:rPr>
      <w:rFonts w:asciiTheme="majorHAnsi" w:eastAsiaTheme="majorEastAsia" w:hAnsiTheme="majorHAnsi" w:cstheme="majorBidi" w:ascii="Aptos Display" w:hAnsi="Aptos Display"/>
      <w:b/>
      <w:bCs/>
      <w:color w:val="123426"/>
      <w:sz w:val="26"/>
      <w:szCs w:val="26"/>
    </w:rPr>
  </w:style>
  <w:style w:type="paragraph" w:styleId="Heading3">
    <w:name w:val="heading 3"/>
    <w:basedOn w:val="Normal"/>
    <w:next w:val="Normal"/>
    <w:link w:val="Heading3Char"/>
    <w:uiPriority w:val="9"/>
    <w:unhideWhenUsed/>
    <w:qFormat/>
    <w:rsid w:val="00FC693F"/>
    <w:pPr>
      <w:keepNext/>
      <w:keepLines/>
      <w:spacing w:before="120" w:after="100"/>
      <w:outlineLvl w:val="2"/>
    </w:pPr>
    <w:rPr>
      <w:rFonts w:asciiTheme="majorHAnsi" w:eastAsiaTheme="majorEastAsia" w:hAnsiTheme="majorHAnsi" w:cstheme="majorBidi" w:ascii="Aptos Display" w:hAnsi="Aptos Display"/>
      <w:b/>
      <w:bCs/>
      <w:color w:val="2FD27A"/>
      <w:sz w:val="20"/>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100" w:line="240" w:lineRule="auto" w:before="120"/>
      <w:contextualSpacing/>
    </w:pPr>
    <w:rPr>
      <w:rFonts w:asciiTheme="majorHAnsi" w:eastAsiaTheme="majorEastAsia" w:hAnsiTheme="majorHAnsi" w:cstheme="majorBidi" w:ascii="Aptos Display" w:hAnsi="Aptos Display"/>
      <w:b/>
      <w:color w:val="06140F"/>
      <w:spacing w:val="5"/>
      <w:kern w:val="28"/>
      <w:sz w:val="56"/>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image" Target="media/image1.jpg"/><Relationship Id="rId12"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Developmental Lesson 6: Guided Notes</dc:title>
  <dc:subject>Socratic guided notes aligned to the lesson deck</dc:subject>
  <dc:creator>John Hay Biomedical</dc:creator>
  <cp:keywords/>
  <dc:description>generated by python-docx</dc:description>
  <cp:lastModifiedBy/>
  <cp:revision>1</cp:revision>
  <dcterms:created xsi:type="dcterms:W3CDTF">2013-12-23T23:15:00Z</dcterms:created>
  <dcterms:modified xsi:type="dcterms:W3CDTF">2013-12-23T23:15:00Z</dcterms:modified>
  <cp:category/>
</cp:coreProperties>
</file>