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60"/>
      </w:pPr>
      <w:r>
        <w:rPr>
          <w:rFonts w:ascii="Aptos" w:hAnsi="Aptos"/>
          <w:b/>
          <w:color w:val="2FD27A"/>
          <w:sz w:val="16"/>
        </w:rPr>
        <w:t>ANATOMICAL DOMAIN | LESSON 10 OF 20 | CRANIOFACIAL SURGEON (PLANNING THE REPAIR TIMELINE)</w:t>
      </w:r>
    </w:p>
    <w:p>
      <w:pPr>
        <w:pStyle w:val="Title"/>
        <w:spacing w:after="80"/>
      </w:pPr>
      <w:r>
        <w:t>When to Repair, and Why the Calendar Matters</w:t>
      </w:r>
    </w:p>
    <w:p>
      <w:pPr>
        <w:spacing w:after="200"/>
      </w:pPr>
      <w:r>
        <w:rPr>
          <w:rFonts w:ascii="Aptos" w:hAnsi="Aptos"/>
          <w:color w:val="5C6F65"/>
          <w:sz w:val="22"/>
        </w:rPr>
        <w:t>Why is the lip usually repaired at about three months and the palate at about nine to twelve months, and what is being balanced in that choice?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27"/>
        <w:gridCol w:w="5227"/>
      </w:tblGrid>
      <w:tr>
        <w:tc>
          <w:tcPr>
            <w:tcW w:type="dxa" w:w="5054"/>
            <w:shd w:fill="E9F4ED"/>
            <w:tcMar>
              <w:top w:w="130" w:type="dxa"/>
              <w:start w:w="145" w:type="dxa"/>
              <w:bottom w:w="130" w:type="dxa"/>
              <w:end w:w="145" w:type="dxa"/>
            </w:tcMar>
          </w:tcPr>
          <w:p>
            <w:pPr>
              <w:spacing w:after="60"/>
            </w:pPr>
            <w:r/>
            <w:r>
              <w:rPr>
                <w:rFonts w:ascii="Aptos" w:hAnsi="Aptos"/>
                <w:b/>
                <w:color w:val="2FD27A"/>
                <w:sz w:val="16"/>
              </w:rPr>
              <w:t>CARRY FORWARD</w:t>
            </w:r>
          </w:p>
          <w:p>
            <w:pPr>
              <w:spacing w:after="0"/>
            </w:pPr>
            <w:r>
              <w:rPr>
                <w:rFonts w:ascii="Aptos" w:hAnsi="Aptos"/>
                <w:b/>
                <w:color w:val="06140F"/>
                <w:sz w:val="20"/>
              </w:rPr>
              <w:t>Palate repair must close the oral-nasal opening and rebuild the levator sling while protecting blood supply and growth.</w:t>
            </w:r>
          </w:p>
        </w:tc>
        <w:tc>
          <w:tcPr>
            <w:tcW w:type="dxa" w:w="5054"/>
            <w:shd w:fill="FFF7D5"/>
            <w:tcMar>
              <w:top w:w="130" w:type="dxa"/>
              <w:start w:w="145" w:type="dxa"/>
              <w:bottom w:w="130" w:type="dxa"/>
              <w:end w:w="145" w:type="dxa"/>
            </w:tcMar>
          </w:tcPr>
          <w:p>
            <w:pPr>
              <w:spacing w:after="60"/>
            </w:pPr>
            <w:r/>
            <w:r>
              <w:rPr>
                <w:rFonts w:ascii="Aptos" w:hAnsi="Aptos"/>
                <w:b/>
                <w:color w:val="8A6B00"/>
                <w:sz w:val="16"/>
              </w:rPr>
              <w:t>10-YEAR TAKEAWAY</w:t>
            </w:r>
          </w:p>
          <w:p>
            <w:pPr>
              <w:spacing w:after="0"/>
            </w:pPr>
            <w:r>
              <w:rPr>
                <w:rFonts w:ascii="Aptos" w:hAnsi="Aptos"/>
                <w:b/>
                <w:color w:val="06140F"/>
                <w:sz w:val="20"/>
              </w:rPr>
              <w:t>Cleft surgery timing balances present safety, early function, future growth, and family readiness rather than following one magic date.</w:t>
            </w:r>
          </w:p>
        </w:tc>
      </w:tr>
    </w:tbl>
    <w:p/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613"/>
        <w:gridCol w:w="2613"/>
        <w:gridCol w:w="2613"/>
        <w:gridCol w:w="2613"/>
      </w:tblGrid>
      <w:tr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Cells differentiate</w:t>
            </w:r>
          </w:p>
        </w:tc>
        <w:tc>
          <w:tcPr>
            <w:tcW w:type="dxa" w:w="2613"/>
            <w:shd w:fill="2FD27A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Development sculpts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Cells move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Development can go wrong</w:t>
            </w:r>
          </w:p>
        </w:tc>
      </w:tr>
    </w:tbl>
    <w:p>
      <w:pPr>
        <w:pStyle w:val="Heading1"/>
      </w:pPr>
      <w:r>
        <w:t>1. Observe the analogy before naming the biology</w:t>
      </w:r>
    </w:p>
    <w:p>
      <w:pPr>
        <w:spacing w:after="40"/>
        <w:jc w:val="center"/>
      </w:pPr>
      <w:r>
        <w:drawing>
          <wp:inline xmlns:a="http://schemas.openxmlformats.org/drawingml/2006/main" xmlns:pic="http://schemas.openxmlformats.org/drawingml/2006/picture">
            <wp:extent cx="3108960" cy="310896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108960" cy="310896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00"/>
        <w:jc w:val="center"/>
      </w:pPr>
      <w:r>
        <w:rPr>
          <w:rFonts w:ascii="Aptos" w:hAnsi="Aptos"/>
          <w:i/>
          <w:color w:val="5C6F65"/>
          <w:sz w:val="15"/>
        </w:rPr>
        <w:t>Illustration: Repair a busy bridge during the safest useful window</w:t>
      </w: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Why not repair at the first possible minute?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What is lost by waiting too long?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3. </w:t>
      </w:r>
      <w:r>
        <w:rPr>
          <w:sz w:val="20"/>
        </w:rPr>
        <w:t>Which conditions make the window individual?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ANATOMICAL LESSON 10 | RULES AND BIOLOGY MAPPING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06140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2. Turn observations into rules</w:t>
            </w:r>
          </w:p>
        </w:tc>
      </w:tr>
    </w:tbl>
    <w:p>
      <w:pPr>
        <w:spacing w:after="0"/>
      </w:pP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Rule 1: Define the function that needs protection.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Rule 2: Check medical and family readiness.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3. </w:t>
      </w:r>
      <w:r>
        <w:rPr>
          <w:sz w:val="20"/>
        </w:rPr>
        <w:t>Rule 3: Use a window and team protocol, not a universal birthday.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rPr>
          <w:b/>
          <w:color w:val="F5C542"/>
        </w:rPr>
        <w:t xml:space="preserve">Where the analogy stops: </w:t>
      </w:r>
      <w:r>
        <w:t>Surgical timing depends on individual clinical factors and cannot be reduced to a maintenance calendar.</w:t>
      </w:r>
    </w:p>
    <w:p>
      <w:pPr>
        <w:pStyle w:val="Heading1"/>
      </w:pPr>
      <w:r>
        <w:t>3. Map the rules onto the biomedical example</w:t>
      </w:r>
    </w:p>
    <w:p>
      <w:pPr>
        <w:spacing w:after="40"/>
        <w:jc w:val="center"/>
      </w:pPr>
      <w:r>
        <w:drawing>
          <wp:inline xmlns:a="http://schemas.openxmlformats.org/drawingml/2006/main" xmlns:pic="http://schemas.openxmlformats.org/drawingml/2006/picture">
            <wp:extent cx="3063240" cy="3063240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63240" cy="306324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00"/>
        <w:jc w:val="center"/>
      </w:pPr>
      <w:r>
        <w:rPr>
          <w:rFonts w:ascii="Aptos" w:hAnsi="Aptos"/>
          <w:i/>
          <w:color w:val="5C6F65"/>
          <w:sz w:val="15"/>
        </w:rPr>
        <w:t>Biomedical teaching illustration: Build Mateo's staged repair calendar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85"/>
        <w:gridCol w:w="3485"/>
        <w:gridCol w:w="3485"/>
      </w:tblGrid>
      <w:tr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Analogy step</w:t>
            </w:r>
          </w:p>
        </w:tc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Biology step</w:t>
            </w:r>
          </w:p>
        </w:tc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How the relationship stays the same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Traffic need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Feeding, speech, and family function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Structural readiness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Infant health and anesthesia readiness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Future expansion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Facial growth and later procedures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</w:tbl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ANATOMICAL LESSON 10 | CASE FILE AND DECISION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06140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4. Use the case evidence</w:t>
            </w:r>
          </w:p>
        </w:tc>
      </w:tr>
    </w:tbl>
    <w:p>
      <w:pPr>
        <w:spacing w:after="0"/>
      </w:pP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485"/>
        <w:gridCol w:w="3485"/>
        <w:gridCol w:w="3485"/>
      </w:tblGrid>
      <w:tr>
        <w:trPr>
          <w:tblHeader w:val="true"/>
        </w:trPr>
        <w:tc>
          <w:tcPr>
            <w:tcW w:type="dxa" w:w="1080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ID</w:t>
            </w:r>
          </w:p>
        </w:tc>
        <w:tc>
          <w:tcPr>
            <w:tcW w:type="dxa" w:w="4536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Finding supplied in the case</w:t>
            </w:r>
          </w:p>
        </w:tc>
        <w:tc>
          <w:tcPr>
            <w:tcW w:type="dxa" w:w="4536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Why it matters</w:t>
            </w:r>
          </w:p>
        </w:tc>
      </w:tr>
      <w:tr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ANA10-E1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ACPA states that primary lip repair is often initiated within the first six months for healthy infants.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Three months can be a common center target but is not a universal rule.</w:t>
            </w:r>
          </w:p>
        </w:tc>
      </w:tr>
      <w:tr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ANA10-E2</w:t>
            </w:r>
          </w:p>
        </w:tc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ACPA states that primary palate repair often occurs at 9 to 14 months and ideally by 18 months.</w:t>
            </w:r>
          </w:p>
        </w:tc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Speech development and readiness shape the window.</w:t>
            </w:r>
          </w:p>
        </w:tc>
      </w:tr>
      <w:tr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ANA10-E3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Mateo is medically stable in the composite file, but care is shared with the family and center team.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final date depends on individual assessment and protocol.</w:t>
            </w:r>
          </w:p>
        </w:tc>
      </w:tr>
    </w:tbl>
    <w:p>
      <w:pPr>
        <w:pStyle w:val="Heading1"/>
      </w:pPr>
      <w:r>
        <w:t>5. Make the clinical decision</w:t>
      </w:r>
    </w:p>
    <w:p>
      <w:r>
        <w:rPr>
          <w:b/>
        </w:rPr>
        <w:t xml:space="preserve">You are the cleft-team coordinator. </w:t>
      </w:r>
      <w:r>
        <w:t>A handout says every infant must have lip repair on the exact 90th day and palate repair on the exact first birthday.</w:t>
      </w:r>
    </w:p>
    <w:p>
      <w:pPr>
        <w:ind w:left="288"/>
      </w:pPr>
      <w:r>
        <w:rPr>
          <w:b/>
        </w:rPr>
        <w:t xml:space="preserve">A. </w:t>
      </w:r>
      <w:r>
        <w:t>Replace exact dates with evidence-based windows and readiness gates.</w:t>
      </w:r>
    </w:p>
    <w:p>
      <w:pPr>
        <w:ind w:left="288"/>
      </w:pPr>
      <w:r>
        <w:rPr>
          <w:b/>
        </w:rPr>
        <w:t xml:space="preserve">B. </w:t>
      </w:r>
      <w:r>
        <w:t>Keep the exact birthdays as universal rules.</w:t>
      </w:r>
    </w:p>
    <w:p>
      <w:pPr>
        <w:ind w:left="288"/>
      </w:pPr>
      <w:r>
        <w:rPr>
          <w:b/>
        </w:rPr>
        <w:t xml:space="preserve">C. </w:t>
      </w:r>
      <w:r>
        <w:t>Avoid discussing timing with the family.</w:t>
      </w:r>
    </w:p>
    <w:p>
      <w:pPr>
        <w:spacing w:after="40"/>
      </w:pPr>
      <w:r>
        <w:rPr>
          <w:b/>
          <w:color w:val="2FD27A"/>
        </w:rPr>
        <w:t xml:space="preserve">Decision. </w:t>
      </w:r>
      <w:r>
        <w:rPr>
          <w:sz w:val="20"/>
        </w:rPr>
        <w:t>Choose the calendar language and cite both ACPA timing windows.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rPr>
          <w:b/>
          <w:color w:val="F5C542"/>
        </w:rPr>
        <w:t xml:space="preserve">Claim ceiling: </w:t>
      </w:r>
      <w:r>
        <w:t>You may propose an educational sequence for the stable composite case. You may not schedule real surgery or override the treating team.</w:t>
      </w:r>
    </w:p>
    <w:p>
      <w:pPr>
        <w:spacing w:after="40"/>
      </w:pPr>
      <w:r>
        <w:rPr>
          <w:b/>
          <w:color w:val="2FD27A"/>
        </w:rPr>
        <w:t xml:space="preserve">Claim. </w:t>
      </w:r>
      <w:r>
        <w:rPr>
          <w:sz w:val="20"/>
        </w:rPr>
        <w:t>State the choice you can defend.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Evidence. </w:t>
      </w:r>
      <w:r>
        <w:rPr>
          <w:sz w:val="20"/>
        </w:rPr>
        <w:t>Use these labeled IDs: ANA10-E1 + ANA10-E2.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Reasoning. </w:t>
      </w:r>
      <w:r>
        <w:rPr>
          <w:sz w:val="20"/>
        </w:rPr>
        <w:t>Explain why the evidence supports the claim and stays inside the claim ceiling.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ANATOMICAL LESSON 10 | REDUCE, REFLECT, AND PREPARE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2FD27A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6. Reduce the lesson to one lasting idea</w:t>
            </w:r>
          </w:p>
        </w:tc>
      </w:tr>
    </w:tbl>
    <w:p>
      <w:pPr>
        <w:spacing w:after="0"/>
      </w:pPr>
    </w:p>
    <w:p>
      <w:pPr>
        <w:spacing w:after="40"/>
      </w:pPr>
      <w:r>
        <w:rPr>
          <w:b/>
          <w:color w:val="2FD27A"/>
        </w:rPr>
        <w:t xml:space="preserve">Take-home. </w:t>
      </w:r>
      <w:r>
        <w:rPr>
          <w:sz w:val="20"/>
        </w:rPr>
        <w:t>Cleft surgery timing balances present safety, early function, future growth, and family readiness rather than following one magic date.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What is the ACPA palate-repair window?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Why should the team use readiness gates?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pStyle w:val="Heading1"/>
      </w:pPr>
      <w:r>
        <w:t>Glossary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27"/>
        <w:gridCol w:w="5227"/>
      </w:tblGrid>
      <w:tr>
        <w:trPr>
          <w:tblHeader w:val="true"/>
        </w:trPr>
        <w:tc>
          <w:tcPr>
            <w:tcW w:type="dxa" w:w="2880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Term</w:t>
            </w:r>
          </w:p>
        </w:tc>
        <w:tc>
          <w:tcPr>
            <w:tcW w:type="dxa" w:w="7272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Plain-English definition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surgical timing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Choosing the best age to perform a repair, balancing growth, speech, and healing, such as lip repair in infancy and palate repair before speech.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rule of tens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classic guideline for timing cleft lip surgery: the infant should be about ten weeks old, ten pounds, and have hemoglobin near ten.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palatoplasty timing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choice of when to surgically repair a cleft palate, balancing better speech from earlier repair against possible effects on facial growth.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speech-language window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early childhood period when the brain learns speech and language fastest, making timely cleft palate repair important for clear speech.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growth disturbance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Slowed or uneven growth of a body part, such as the midface after cleft surgery, leading to a smaller or asymmetric structure.</w:t>
            </w:r>
          </w:p>
        </w:tc>
      </w:tr>
    </w:tbl>
    <w:p>
      <w:pPr>
        <w:pStyle w:val="Heading1"/>
      </w:pPr>
      <w:r>
        <w:t>Next lesson unlock</w:t>
      </w:r>
    </w:p>
    <w:p>
      <w:pPr>
        <w:spacing w:after="100"/>
      </w:pPr>
      <w:r>
        <w:t>We set Mateo's calendar: his lip repaired around three months, his palate before his first words land. We argued that the timing itself helps protect his speech. But that rests on a claim we have not proven. Why does closing the roof of the mouth matter so much for talking in the first place? We chase that next time.</w:t>
      </w:r>
    </w:p>
    <w:p>
      <w:r>
        <w:rPr>
          <w:i/>
          <w:color w:val="5C6F65"/>
        </w:rPr>
        <w:t>The journal links on the lesson page are optional. Everything required for this guided-notes set is already supplied here and in the case file.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835" w:right="893" w:bottom="792" w:left="893" w:header="360" w:footer="36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rPr>
        <w:rFonts w:ascii="Aptos" w:hAnsi="Aptos"/>
        <w:color w:val="5C6F65"/>
        <w:sz w:val="16"/>
      </w:rPr>
      <w:t xml:space="preserve">Page </w:t>
    </w:r>
    <w:fldSimple w:instr="PAGE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left"/>
    </w:pPr>
    <w:r>
      <w:rPr>
        <w:rFonts w:ascii="Aptos" w:hAnsi="Aptos"/>
        <w:b/>
        <w:color w:val="2FD27A"/>
        <w:sz w:val="16"/>
      </w:rPr>
      <w:t>JOHN HAY BIOMEDICAL  |  THE BABY MATEO CASE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59" w:lineRule="auto"/>
    </w:pPr>
    <w:rPr>
      <w:rFonts w:ascii="Aptos" w:hAnsi="Aptos"/>
      <w:color w:val="06140F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100"/>
      <w:outlineLvl w:val="0"/>
    </w:pPr>
    <w:rPr>
      <w:rFonts w:asciiTheme="majorHAnsi" w:eastAsiaTheme="majorEastAsia" w:hAnsiTheme="majorHAnsi" w:cstheme="majorBidi" w:ascii="Aptos Display" w:hAnsi="Aptos Display"/>
      <w:b/>
      <w:bCs/>
      <w:color w:val="06140F"/>
      <w:sz w:val="3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20" w:after="100"/>
      <w:outlineLvl w:val="1"/>
    </w:pPr>
    <w:rPr>
      <w:rFonts w:asciiTheme="majorHAnsi" w:eastAsiaTheme="majorEastAsia" w:hAnsiTheme="majorHAnsi" w:cstheme="majorBidi" w:ascii="Aptos Display" w:hAnsi="Aptos Display"/>
      <w:b/>
      <w:bCs/>
      <w:color w:val="123426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120" w:after="100"/>
      <w:outlineLvl w:val="2"/>
    </w:pPr>
    <w:rPr>
      <w:rFonts w:asciiTheme="majorHAnsi" w:eastAsiaTheme="majorEastAsia" w:hAnsiTheme="majorHAnsi" w:cstheme="majorBidi" w:ascii="Aptos Display" w:hAnsi="Aptos Display"/>
      <w:b/>
      <w:bCs/>
      <w:color w:val="2FD27A"/>
      <w:sz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100" w:line="240" w:lineRule="auto" w:before="120"/>
      <w:contextualSpacing/>
    </w:pPr>
    <w:rPr>
      <w:rFonts w:asciiTheme="majorHAnsi" w:eastAsiaTheme="majorEastAsia" w:hAnsiTheme="majorHAnsi" w:cstheme="majorBidi" w:ascii="Aptos Display" w:hAnsi="Aptos Display"/>
      <w:b/>
      <w:color w:val="06140F"/>
      <w:spacing w:val="5"/>
      <w:kern w:val="28"/>
      <w:sz w:val="5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1.jpg"/><Relationship Id="rId12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Anatomical Lesson 10: Guided Notes</dc:title>
  <dc:subject>Socratic guided notes aligned to the lesson deck</dc:subject>
  <dc:creator>John Hay Biomedical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