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" w:line="269" w:lineRule="auto"/>
      </w:pPr>
      <w:r>
        <w:rPr>
          <w:rFonts w:ascii="Calibri" w:hAnsi="Calibri"/>
          <w:b/>
          <w:i w:val="0"/>
          <w:color w:val="2FD27A"/>
          <w:sz w:val="18"/>
        </w:rPr>
        <w:t>QUALITY AUDIT | SEVEN-LESSON SERIES</w:t>
      </w:r>
    </w:p>
    <w:p>
      <w:pPr>
        <w:spacing w:before="0" w:after="100" w:line="269" w:lineRule="auto"/>
      </w:pPr>
      <w:r>
        <w:rPr>
          <w:rFonts w:ascii="Calibri" w:hAnsi="Calibri"/>
          <w:b/>
          <w:i w:val="0"/>
          <w:color w:val="0B2A1F"/>
          <w:sz w:val="52"/>
        </w:rPr>
        <w:t>Red-team report: can students finish the work inside the unit?</w:t>
      </w:r>
    </w:p>
    <w:p>
      <w:pPr>
        <w:spacing w:before="0" w:after="320" w:line="269" w:lineRule="auto"/>
      </w:pPr>
      <w:r>
        <w:rPr>
          <w:rFonts w:ascii="Calibri" w:hAnsi="Calibri"/>
          <w:b w:val="0"/>
          <w:i w:val="0"/>
          <w:color w:val="527267"/>
          <w:sz w:val="25"/>
        </w:rPr>
        <w:t>Evidence, scaffolds, and Socratic decision points checked against the revised decks</w:t>
      </w:r>
    </w:p>
    <w:p>
      <w:pPr>
        <w:spacing w:after="240"/>
        <w:pBdr>
          <w:bottom w:val="single" w:sz="12" w:space="1" w:color="2FD27A"/>
        </w:pBdr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FFF7D6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F5C542"/>
                <w:sz w:val="18"/>
              </w:rPr>
              <w:t xml:space="preserve">EXECUTIVE VERDICT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The prior series had a strong teaching pattern but was not closed-loop. All seven lessons contained at least one task whose needed figure, case evidence, vocabulary support, or gene card was not supplied. The revision repairs those dependencies with a complete case file, a plain-language explainer, new biology illustrations, and claim ceilings.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Red-team questions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Was every item needed to complete the task supplied before students were asked to use it?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Does each lesson build from the previous take-home rather than restart the story?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Can a student answer without leaving the unit for a live web search?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Does the Socratic sequence move from picture, to student inference, to real biology, to a concrete decision?</w:t>
      </w:r>
    </w:p>
    <w:p>
      <w:pPr>
        <w:pStyle w:val="Heading1"/>
      </w:pPr>
      <w:r>
        <w:t>Repair scorecard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2232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r>
              <w:rPr>
                <w:rFonts w:ascii="Calibri" w:hAnsi="Calibri"/>
                <w:b/>
                <w:i w:val="0"/>
                <w:color w:val="527267"/>
                <w:sz w:val="19"/>
              </w:rPr>
              <w:t>Before revision</w:t>
            </w:r>
          </w:p>
        </w:tc>
        <w:tc>
          <w:tcPr>
            <w:tcW w:type="dxa" w:w="7128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r>
              <w:rPr>
                <w:rFonts w:ascii="Calibri" w:hAnsi="Calibri"/>
                <w:b w:val="0"/>
                <w:i w:val="0"/>
                <w:color w:val="0B2A1F"/>
                <w:sz w:val="20"/>
              </w:rPr>
              <w:t>7 of 7 lessons had at least one outside-unit dependency.</w:t>
            </w:r>
          </w:p>
        </w:tc>
      </w:tr>
      <w:tr>
        <w:tc>
          <w:tcPr>
            <w:tcW w:type="dxa" w:w="2232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r>
              <w:rPr>
                <w:rFonts w:ascii="Calibri" w:hAnsi="Calibri"/>
                <w:b/>
                <w:i w:val="0"/>
                <w:color w:val="527267"/>
                <w:sz w:val="19"/>
              </w:rPr>
              <w:t>After revision</w:t>
            </w:r>
          </w:p>
        </w:tc>
        <w:tc>
          <w:tcPr>
            <w:tcW w:type="dxa" w:w="7128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r>
              <w:rPr>
                <w:rFonts w:ascii="Calibri" w:hAnsi="Calibri"/>
                <w:b w:val="0"/>
                <w:i w:val="0"/>
                <w:color w:val="0B2A1F"/>
                <w:sz w:val="20"/>
              </w:rPr>
              <w:t>7 of 7 lessons map to a supplied figure, explainer section, evidence card, and case decision.</w:t>
            </w:r>
          </w:p>
        </w:tc>
      </w:tr>
      <w:tr>
        <w:tc>
          <w:tcPr>
            <w:tcW w:type="dxa" w:w="2232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r>
              <w:rPr>
                <w:rFonts w:ascii="Calibri" w:hAnsi="Calibri"/>
                <w:b/>
                <w:i w:val="0"/>
                <w:color w:val="527267"/>
                <w:sz w:val="19"/>
              </w:rPr>
              <w:t>Outside lookup</w:t>
            </w:r>
          </w:p>
        </w:tc>
        <w:tc>
          <w:tcPr>
            <w:tcW w:type="dxa" w:w="7128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r>
              <w:rPr>
                <w:rFonts w:ascii="Calibri" w:hAnsi="Calibri"/>
                <w:b w:val="0"/>
                <w:i w:val="0"/>
                <w:color w:val="0B2A1F"/>
                <w:sz w:val="20"/>
              </w:rPr>
              <w:t>Not required. Sources are labeled enrichment only.</w:t>
            </w:r>
          </w:p>
        </w:tc>
      </w:tr>
      <w:tr>
        <w:tc>
          <w:tcPr>
            <w:tcW w:type="dxa" w:w="2232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r>
              <w:rPr>
                <w:rFonts w:ascii="Calibri" w:hAnsi="Calibri"/>
                <w:b/>
                <w:i w:val="0"/>
                <w:color w:val="527267"/>
                <w:sz w:val="19"/>
              </w:rPr>
              <w:t>Case safety</w:t>
            </w:r>
          </w:p>
        </w:tc>
        <w:tc>
          <w:tcPr>
            <w:tcW w:type="dxa" w:w="7128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r>
              <w:rPr>
                <w:rFonts w:ascii="Calibri" w:hAnsi="Calibri"/>
                <w:b w:val="0"/>
                <w:i w:val="0"/>
                <w:color w:val="0B2A1F"/>
                <w:sz w:val="20"/>
              </w:rPr>
              <w:t>Composite, de-identified, no diagnosis assigned.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Lesson 1 | Meet Mateo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Student task: </w:t>
      </w:r>
      <w:r>
        <w:rPr>
          <w:rFonts w:ascii="Calibri" w:hAnsi="Calibri"/>
          <w:b w:val="0"/>
          <w:i w:val="0"/>
          <w:color w:val="0B2A1F"/>
          <w:sz w:val="21"/>
        </w:rPr>
        <w:t>Generate questions from the case record and separate observation from explanation.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Evidence supplied: </w:t>
      </w:r>
      <w:r>
        <w:rPr>
          <w:rFonts w:ascii="Calibri" w:hAnsi="Calibri"/>
          <w:b w:val="0"/>
          <w:i w:val="0"/>
          <w:color w:val="0B2A1F"/>
          <w:sz w:val="21"/>
        </w:rPr>
        <w:t>CF-001 case file, case illustration, known/unknown fields, opening question stem.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Gap found: </w:t>
      </w:r>
      <w:r>
        <w:rPr>
          <w:rFonts w:ascii="Calibri" w:hAnsi="Calibri"/>
          <w:b w:val="0"/>
          <w:i w:val="0"/>
          <w:color w:val="0B2A1F"/>
          <w:sz w:val="21"/>
        </w:rPr>
        <w:t>The deck named a composite case but did not provide a complete medical-style record or image evidence.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Repair in the revised unit: </w:t>
      </w:r>
      <w:r>
        <w:rPr>
          <w:rFonts w:ascii="Calibri" w:hAnsi="Calibri"/>
          <w:b w:val="0"/>
          <w:i w:val="0"/>
          <w:color w:val="0B2A1F"/>
          <w:sz w:val="21"/>
        </w:rPr>
        <w:t>Start with the case file. Students identify observations, unknowns, and one testable question before IRF6 appears.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2FD27A"/>
                <w:sz w:val="18"/>
              </w:rPr>
              <w:t xml:space="preserve">RED-TEAM PASS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Students can complete this task with the decks, case file, and explainer. No outside lookup is required.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Lesson 2 | How a Face Is Built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Student task: </w:t>
      </w:r>
      <w:r>
        <w:rPr>
          <w:rFonts w:ascii="Calibri" w:hAnsi="Calibri"/>
          <w:b w:val="0"/>
          <w:i w:val="0"/>
          <w:color w:val="0B2A1F"/>
          <w:sz w:val="21"/>
        </w:rPr>
        <w:t>Label facial prominences and place a process on a developmental timeline.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Evidence supplied: </w:t>
      </w:r>
      <w:r>
        <w:rPr>
          <w:rFonts w:ascii="Calibri" w:hAnsi="Calibri"/>
          <w:b w:val="0"/>
          <w:i w:val="0"/>
          <w:color w:val="0B2A1F"/>
          <w:sz w:val="21"/>
        </w:rPr>
        <w:t>Face-build illustration, four-window timeline, plain-language definitions of prominence, fusion, and time window.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Gap found: </w:t>
      </w:r>
      <w:r>
        <w:rPr>
          <w:rFonts w:ascii="Calibri" w:hAnsi="Calibri"/>
          <w:b w:val="0"/>
          <w:i w:val="0"/>
          <w:color w:val="0B2A1F"/>
          <w:sz w:val="21"/>
        </w:rPr>
        <w:t>Students were asked to label and sequence without a supplied scaffolded figure or unit clock.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Repair in the revised unit: </w:t>
      </w:r>
      <w:r>
        <w:rPr>
          <w:rFonts w:ascii="Calibri" w:hAnsi="Calibri"/>
          <w:b w:val="0"/>
          <w:i w:val="0"/>
          <w:color w:val="0B2A1F"/>
          <w:sz w:val="21"/>
        </w:rPr>
        <w:t>The timeline is in the case file and the same illustration appears in the deck and explainer.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2FD27A"/>
                <w:sz w:val="18"/>
              </w:rPr>
              <w:t xml:space="preserve">RED-TEAM PASS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Students can complete this task with the decks, case file, and explainer. No outside lookup is required.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Lesson 3 | A Cleft Marks a Step That Did Not Finish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Student task: </w:t>
      </w:r>
      <w:r>
        <w:rPr>
          <w:rFonts w:ascii="Calibri" w:hAnsi="Calibri"/>
          <w:b w:val="0"/>
          <w:i w:val="0"/>
          <w:color w:val="0B2A1F"/>
          <w:sz w:val="21"/>
        </w:rPr>
        <w:t>Classify a cleft as a growth, contact, or remodeling question and use an IRF6 example.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Evidence supplied: </w:t>
      </w:r>
      <w:r>
        <w:rPr>
          <w:rFonts w:ascii="Calibri" w:hAnsi="Calibri"/>
          <w:b w:val="0"/>
          <w:i w:val="0"/>
          <w:color w:val="0B2A1F"/>
          <w:sz w:val="21"/>
        </w:rPr>
        <w:t>Fusion-gap illustration, IRF6 evidence card, claim ceiling, cleft definition.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Gap found: </w:t>
      </w:r>
      <w:r>
        <w:rPr>
          <w:rFonts w:ascii="Calibri" w:hAnsi="Calibri"/>
          <w:b w:val="0"/>
          <w:i w:val="0"/>
          <w:color w:val="0B2A1F"/>
          <w:sz w:val="21"/>
        </w:rPr>
        <w:t>Examples and gene evidence were named but not supplied.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Repair in the revised unit: </w:t>
      </w:r>
      <w:r>
        <w:rPr>
          <w:rFonts w:ascii="Calibri" w:hAnsi="Calibri"/>
          <w:b w:val="0"/>
          <w:i w:val="0"/>
          <w:color w:val="0B2A1F"/>
          <w:sz w:val="21"/>
        </w:rPr>
        <w:t>Students first infer from the picture, then use IRF6 as a real mechanism, then choose the next test for CF-001.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2FD27A"/>
                <w:sz w:val="18"/>
              </w:rPr>
              <w:t xml:space="preserve">RED-TEAM PASS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Students can complete this task with the decks, case file, and explainer. No outside lookup is required.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Lesson 4 | The Cells That Build the Face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Student task: </w:t>
      </w:r>
      <w:r>
        <w:rPr>
          <w:rFonts w:ascii="Calibri" w:hAnsi="Calibri"/>
          <w:b w:val="0"/>
          <w:i w:val="0"/>
          <w:color w:val="0B2A1F"/>
          <w:sz w:val="21"/>
        </w:rPr>
        <w:t>Draw a neural crest route and interpret a marker such as SOX10.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Evidence supplied: </w:t>
      </w:r>
      <w:r>
        <w:rPr>
          <w:rFonts w:ascii="Calibri" w:hAnsi="Calibri"/>
          <w:b w:val="0"/>
          <w:i w:val="0"/>
          <w:color w:val="0B2A1F"/>
          <w:sz w:val="21"/>
        </w:rPr>
        <w:t>Neural crest migration illustration, SOX10 card, marker limitation in the explainer.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Gap found: </w:t>
      </w:r>
      <w:r>
        <w:rPr>
          <w:rFonts w:ascii="Calibri" w:hAnsi="Calibri"/>
          <w:b w:val="0"/>
          <w:i w:val="0"/>
          <w:color w:val="0B2A1F"/>
          <w:sz w:val="21"/>
        </w:rPr>
        <w:t>There was no cross-section figure or explanation of what a marker can and cannot prove.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Repair in the revised unit: </w:t>
      </w:r>
      <w:r>
        <w:rPr>
          <w:rFonts w:ascii="Calibri" w:hAnsi="Calibri"/>
          <w:b w:val="0"/>
          <w:i w:val="0"/>
          <w:color w:val="0B2A1F"/>
          <w:sz w:val="21"/>
        </w:rPr>
        <w:t>The figure is visible before the question, and the answer must stay below the marker claim ceiling.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2FD27A"/>
                <w:sz w:val="18"/>
              </w:rPr>
              <w:t xml:space="preserve">RED-TEAM PASS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Students can complete this task with the decks, case file, and explainer. No outside lookup is required.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Lesson 5 | How Cells Choose What to Become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Student task: </w:t>
      </w:r>
      <w:r>
        <w:rPr>
          <w:rFonts w:ascii="Calibri" w:hAnsi="Calibri"/>
          <w:b w:val="0"/>
          <w:i w:val="0"/>
          <w:color w:val="0B2A1F"/>
          <w:sz w:val="21"/>
        </w:rPr>
        <w:t>Apply cue, internal state, WNT/β-catenin, RUNX2, and SOX9 to a cell-fate decision.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Evidence supplied: </w:t>
      </w:r>
      <w:r>
        <w:rPr>
          <w:rFonts w:ascii="Calibri" w:hAnsi="Calibri"/>
          <w:b w:val="0"/>
          <w:i w:val="0"/>
          <w:color w:val="0B2A1F"/>
          <w:sz w:val="21"/>
        </w:rPr>
        <w:t>Cell-fate illustration, WNT/RUNX2/SOX9 card, minimal-jargon explainer.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Gap found: </w:t>
      </w:r>
      <w:r>
        <w:rPr>
          <w:rFonts w:ascii="Calibri" w:hAnsi="Calibri"/>
          <w:b w:val="0"/>
          <w:i w:val="0"/>
          <w:color w:val="0B2A1F"/>
          <w:sz w:val="21"/>
        </w:rPr>
        <w:t>Students were asked to apply mechanisms that were not explained inside the unit.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Repair in the revised unit: </w:t>
      </w:r>
      <w:r>
        <w:rPr>
          <w:rFonts w:ascii="Calibri" w:hAnsi="Calibri"/>
          <w:b w:val="0"/>
          <w:i w:val="0"/>
          <w:color w:val="0B2A1F"/>
          <w:sz w:val="21"/>
        </w:rPr>
        <w:t>Students point to cue and internal program in the figure before deciding which fate is more likely.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2FD27A"/>
                <w:sz w:val="18"/>
              </w:rPr>
              <w:t xml:space="preserve">RED-TEAM PASS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Students can complete this task with the decks, case file, and explainer. No outside lookup is required.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Lesson 6 | Fusion Requires Sculpting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Student task: </w:t>
      </w:r>
      <w:r>
        <w:rPr>
          <w:rFonts w:ascii="Calibri" w:hAnsi="Calibri"/>
          <w:b w:val="0"/>
          <w:i w:val="0"/>
          <w:color w:val="0B2A1F"/>
          <w:sz w:val="21"/>
        </w:rPr>
        <w:t>Sequence approach, contact, seam, and remodeling and distinguish contact from completion.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Evidence supplied: </w:t>
      </w:r>
      <w:r>
        <w:rPr>
          <w:rFonts w:ascii="Calibri" w:hAnsi="Calibri"/>
          <w:b w:val="0"/>
          <w:i w:val="0"/>
          <w:color w:val="0B2A1F"/>
          <w:sz w:val="21"/>
        </w:rPr>
        <w:t>Seam-remodeling and fusion-gap illustrations, TGFB3 card, four-step sequence.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Gap found: </w:t>
      </w:r>
      <w:r>
        <w:rPr>
          <w:rFonts w:ascii="Calibri" w:hAnsi="Calibri"/>
          <w:b w:val="0"/>
          <w:i w:val="0"/>
          <w:color w:val="0B2A1F"/>
          <w:sz w:val="21"/>
        </w:rPr>
        <w:t>Mechanism terms such as seam remodeling, EMT, and apoptosis were not supported by a visual evidence card.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Repair in the revised unit: </w:t>
      </w:r>
      <w:r>
        <w:rPr>
          <w:rFonts w:ascii="Calibri" w:hAnsi="Calibri"/>
          <w:b w:val="0"/>
          <w:i w:val="0"/>
          <w:color w:val="0B2A1F"/>
          <w:sz w:val="21"/>
        </w:rPr>
        <w:t>The explainer defines each term before use and the case board asks which step changed.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2FD27A"/>
                <w:sz w:val="18"/>
              </w:rPr>
              <w:t xml:space="preserve">RED-TEAM PASS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Students can complete this task with the decks, case file, and explainer. No outside lookup is required.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Lesson 7 | From a Gene Instruction to a Cell Behavior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Student task: </w:t>
      </w:r>
      <w:r>
        <w:rPr>
          <w:rFonts w:ascii="Calibri" w:hAnsi="Calibri"/>
          <w:b w:val="0"/>
          <w:i w:val="0"/>
          <w:color w:val="0B2A1F"/>
          <w:sz w:val="21"/>
        </w:rPr>
        <w:t>Trace DNA to RNA to protein to cell behavior and reason about an IRF6 variant.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Evidence supplied: </w:t>
      </w:r>
      <w:r>
        <w:rPr>
          <w:rFonts w:ascii="Calibri" w:hAnsi="Calibri"/>
          <w:b w:val="0"/>
          <w:i w:val="0"/>
          <w:color w:val="0B2A1F"/>
          <w:sz w:val="21"/>
        </w:rPr>
        <w:t>Gene-to-protein illustration, IRF6 mechanism card, context and evidence ceiling.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Gap found: </w:t>
      </w:r>
      <w:r>
        <w:rPr>
          <w:rFonts w:ascii="Calibri" w:hAnsi="Calibri"/>
          <w:b w:val="0"/>
          <w:i w:val="0"/>
          <w:color w:val="0B2A1F"/>
          <w:sz w:val="21"/>
        </w:rPr>
        <w:t>Students were asked to reason about variants without a supplied sequence or an explicit evidence boundary.</w:t>
      </w:r>
    </w:p>
    <w:p>
      <w:pPr>
        <w:spacing w:after="80"/>
      </w:pPr>
      <w:r>
        <w:rPr>
          <w:rFonts w:ascii="Calibri" w:hAnsi="Calibri"/>
          <w:b/>
          <w:i w:val="0"/>
          <w:color w:val="527267"/>
          <w:sz w:val="21"/>
        </w:rPr>
        <w:t xml:space="preserve">Repair in the revised unit: </w:t>
      </w:r>
      <w:r>
        <w:rPr>
          <w:rFonts w:ascii="Calibri" w:hAnsi="Calibri"/>
          <w:b w:val="0"/>
          <w:i w:val="0"/>
          <w:color w:val="0B2A1F"/>
          <w:sz w:val="21"/>
        </w:rPr>
        <w:t>The chain is visual, the vocabulary is plain language, and the decision asks for a mechanism plus one limit.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EAF8F0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2FD27A"/>
                <w:sz w:val="18"/>
              </w:rPr>
              <w:t xml:space="preserve">RED-TEAM PASS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Students can complete this task with the decks, case file, and explainer. No outside lookup is required.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Socratic sequence check</w:t>
      </w:r>
    </w:p>
    <w:p>
      <w:pPr>
        <w:pStyle w:val="ListNumber"/>
        <w:spacing w:after="60"/>
      </w:pPr>
      <w:r>
        <w:rPr>
          <w:rFonts w:ascii="Calibri" w:hAnsi="Calibri"/>
          <w:b w:val="0"/>
          <w:i w:val="0"/>
          <w:color w:val="0B2A1F"/>
          <w:sz w:val="21"/>
        </w:rPr>
        <w:t>1. Picture first: one analogy or biology illustration is visible before the explanation.</w:t>
      </w:r>
    </w:p>
    <w:p>
      <w:pPr>
        <w:pStyle w:val="ListNumber"/>
        <w:spacing w:after="60"/>
      </w:pPr>
      <w:r>
        <w:rPr>
          <w:rFonts w:ascii="Calibri" w:hAnsi="Calibri"/>
          <w:b w:val="0"/>
          <w:i w:val="0"/>
          <w:color w:val="0B2A1F"/>
          <w:sz w:val="21"/>
        </w:rPr>
        <w:t>2. Student inference: questions ask what the learner notices, predicts, or cannot yet claim.</w:t>
      </w:r>
    </w:p>
    <w:p>
      <w:pPr>
        <w:pStyle w:val="ListNumber"/>
        <w:spacing w:after="60"/>
      </w:pPr>
      <w:r>
        <w:rPr>
          <w:rFonts w:ascii="Calibri" w:hAnsi="Calibri"/>
          <w:b w:val="0"/>
          <w:i w:val="0"/>
          <w:color w:val="0B2A1F"/>
          <w:sz w:val="21"/>
        </w:rPr>
        <w:t>3. Real biology: the same step is named in a supplied gene, cell, or developmental example.</w:t>
      </w:r>
    </w:p>
    <w:p>
      <w:pPr>
        <w:pStyle w:val="ListNumber"/>
        <w:spacing w:after="60"/>
      </w:pPr>
      <w:r>
        <w:rPr>
          <w:rFonts w:ascii="Calibri" w:hAnsi="Calibri"/>
          <w:b w:val="0"/>
          <w:i w:val="0"/>
          <w:color w:val="0B2A1F"/>
          <w:sz w:val="21"/>
        </w:rPr>
        <w:t>4. Concrete decision: a situation gives the learner a choice about CF-001 or a model experiment.</w:t>
      </w:r>
    </w:p>
    <w:p>
      <w:pPr>
        <w:pStyle w:val="ListNumber"/>
        <w:spacing w:after="60"/>
      </w:pPr>
      <w:r>
        <w:rPr>
          <w:rFonts w:ascii="Calibri" w:hAnsi="Calibri"/>
          <w:b w:val="0"/>
          <w:i w:val="0"/>
          <w:color w:val="0B2A1F"/>
          <w:sz w:val="21"/>
        </w:rPr>
        <w:t>5. Carry-forward: the answer becomes the next lesson’s starting point and take-home.</w:t>
      </w:r>
    </w:p>
    <w:p>
      <w:pPr>
        <w:pStyle w:val="Heading1"/>
      </w:pPr>
      <w:r>
        <w:t>Final QA gates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Every task has its source figure, card, or case field inside the packet.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Every specialized term has a plain-language definition before students must use it.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Every visual is provided before students interpret it.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Every decision includes a situation, a choice, evidence, and a reasoning prompt.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No live web lookup is required to finish the seven lessons.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Each deck keeps minimal copy, one main illustration, and one claim per slide.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The case is composite and de-identified; no diagnosis is assigned.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The overflow checker passes for all seven decks after the illustration update.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360"/>
            <w:shd w:fill="F4F7F5"/>
            <w:tcMar>
              <w:top w:w="100" w:type="dxa"/>
              <w:start w:w="140" w:type="dxa"/>
              <w:bottom w:w="100" w:type="dxa"/>
              <w:end w:w="14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i w:val="0"/>
                <w:color w:val="9B1C1C"/>
                <w:sz w:val="18"/>
              </w:rPr>
              <w:t xml:space="preserve">REMAINING CAVEAT  </w:t>
            </w:r>
            <w:r>
              <w:rPr>
                <w:rFonts w:ascii="Calibri" w:hAnsi="Calibri"/>
                <w:b w:val="0"/>
                <w:i w:val="0"/>
                <w:color w:val="0B2A1F"/>
                <w:sz w:val="21"/>
              </w:rPr>
              <w:t>The unit teaches mechanism and evidence discipline. It does not replace clinical evaluation, genetic counseling, or a medical record.</w:t>
            </w:r>
          </w:p>
        </w:tc>
      </w:tr>
    </w:tbl>
    <w:p>
      <w:pPr>
        <w:spacing w:before="0" w:after="80" w:line="269" w:lineRule="auto"/>
      </w:pPr>
    </w:p>
    <w:p>
      <w:pPr>
        <w:pStyle w:val="Heading1"/>
      </w:pPr>
      <w:r>
        <w:t>Sources for enrichment</w:t>
      </w:r>
    </w:p>
    <w:p>
      <w:pPr>
        <w:spacing w:before="0" w:after="120" w:line="269" w:lineRule="auto"/>
      </w:pPr>
      <w:r>
        <w:rPr>
          <w:rFonts w:ascii="Calibri" w:hAnsi="Calibri"/>
          <w:b w:val="0"/>
          <w:i/>
          <w:color w:val="527267"/>
          <w:sz w:val="20"/>
        </w:rPr>
        <w:t>The seven lessons are self-contained. These links are for optional teacher or student follow-up, not required homework.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National Institute of Dental and Craniofacial Research, Cleft Lip and Palate: https://www.nidcr.nih.gov/health-info/cleft-lip-palate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Craniofacial development review, PubMed Central: https://pmc.ncbi.nlm.nih.gov/articles/PMC3039913/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Cranial neural crest and facial development review, PubMed Central: https://pmc.ncbi.nlm.nih.gov/articles/PMC11072871/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IRF6 and epithelial seam biology, PubMed Central: https://pmc.ncbi.nlm.nih.gov/articles/PMC2659566/</w:t>
      </w:r>
    </w:p>
    <w:p>
      <w:pPr>
        <w:pStyle w:val="ListBullet"/>
        <w:spacing w:after="60" w:line="259" w:lineRule="auto"/>
      </w:pPr>
      <w:r>
        <w:rPr>
          <w:rFonts w:ascii="Calibri" w:hAnsi="Calibri"/>
          <w:b w:val="0"/>
          <w:i w:val="0"/>
          <w:color w:val="0B2A1F"/>
          <w:sz w:val="21"/>
        </w:rPr>
        <w:t>Palatal fusion and seam remodeling review, PubMed Central: https://pmc.ncbi.nlm.nih.gov/articles/PMC3552505/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296" w:bottom="1080" w:left="1296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527267"/>
        <w:sz w:val="16"/>
      </w:rPr>
      <w:t>John Hay Biomedical  |  Student support material  |  Composite and educational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i w:val="0"/>
        <w:color w:val="527267"/>
        <w:sz w:val="17"/>
      </w:rPr>
      <w:t>CRANIOFACIAL RESEARCH TRACK  |  RED-TEAM AUDIT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9" w:lineRule="auto"/>
    </w:pPr>
    <w:rPr>
      <w:rFonts w:ascii="Calibri" w:hAnsi="Calibri"/>
      <w:color w:val="0B2A1F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2FD27A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Calibri" w:hAnsi="Calibri"/>
      <w:b/>
      <w:bCs/>
      <w:color w:val="1F4D7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60"/>
      <w:outlineLvl w:val="2"/>
    </w:pPr>
    <w:rPr>
      <w:rFonts w:asciiTheme="majorHAnsi" w:eastAsiaTheme="majorEastAsia" w:hAnsiTheme="majorHAnsi" w:cstheme="majorBidi" w:ascii="Calibri" w:hAnsi="Calibri"/>
      <w:b/>
      <w:bCs/>
      <w:color w:val="527267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