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theme/theme1.xml" ContentType="application/vnd.openxmlformats-officedocument.theme+xml"/>
  <Override PartName="/word/webSettings.xml" ContentType="application/vnd.openxmlformats-officedocument.wordprocessingml.webSettings+xml"/>
</Types>
</file>

<file path=_rels/.rels><?xml version='1.0' encoding='UTF-8' standalone='yes'?>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>
      <w:pPr>
        <w:spacing w:before="0" w:after="160" w:line="269" w:lineRule="auto"/>
      </w:pPr>
      <w:r>
        <w:rPr>
          <w:rFonts w:ascii="Calibri" w:hAnsi="Calibri"/>
          <w:b/>
          <w:i w:val="0"/>
          <w:color w:val="2FD27A"/>
          <w:sz w:val="18"/>
        </w:rPr>
        <w:t>TEACHER GUIDE | SEVEN LESSONS</w:t>
      </w:r>
    </w:p>
    <w:p>
      <w:pPr>
        <w:spacing w:before="0" w:after="100" w:line="269" w:lineRule="auto"/>
      </w:pPr>
      <w:r>
        <w:rPr>
          <w:rFonts w:ascii="Calibri" w:hAnsi="Calibri"/>
          <w:b/>
          <w:i w:val="0"/>
          <w:color w:val="0B2A1F"/>
          <w:sz w:val="52"/>
        </w:rPr>
        <w:t>How to teach the track step by step</w:t>
      </w:r>
    </w:p>
    <w:p>
      <w:pPr>
        <w:spacing w:before="0" w:after="320" w:line="269" w:lineRule="auto"/>
      </w:pPr>
      <w:r>
        <w:rPr>
          <w:rFonts w:ascii="Calibri" w:hAnsi="Calibri"/>
          <w:b w:val="0"/>
          <w:i w:val="0"/>
          <w:color w:val="527267"/>
          <w:sz w:val="25"/>
        </w:rPr>
        <w:t>Clear moves, reasons, student products, and slide alignment for a Socratic classroom</w:t>
      </w:r>
    </w:p>
    <w:p>
      <w:pPr>
        <w:spacing w:after="240"/>
        <w:pBdr>
          <w:bottom w:val="single" w:sz="12" w:space="1" w:color="2FD27A"/>
        </w:pBdr>
      </w:pPr>
    </w:p>
    <w:tbl>
      <w:tblPr>
        <w:tblW w:type="auto" w:w="0"/>
        <w:jc w:val="left"/>
        <w:tblLayout w:type="fixed"/>
        <w:tblLook w:firstColumn="1" w:firstRow="1" w:lastColumn="0" w:lastRow="0" w:noHBand="0" w:noVBand="1" w:val="04A0"/>
      </w:tblPr>
      <w:tblGrid>
        <w:gridCol w:w="9648"/>
      </w:tblGrid>
      <w:tr>
        <w:tc>
          <w:tcPr>
            <w:tcW w:type="dxa" w:w="9360"/>
            <w:shd w:fill="FFF7D6"/>
            <w:tcMar>
              <w:top w:w="100" w:type="dxa"/>
              <w:start w:w="140" w:type="dxa"/>
              <w:bottom w:w="100" w:type="dxa"/>
              <w:end w:w="140" w:type="dxa"/>
            </w:tcMar>
            <w:vAlign w:val="center"/>
          </w:tcPr>
          <w:p>
            <w:pPr>
              <w:spacing w:after="40"/>
            </w:pPr>
            <w:r>
              <w:rPr>
                <w:rFonts w:ascii="Calibri" w:hAnsi="Calibri"/>
                <w:b/>
                <w:i w:val="0"/>
                <w:color w:val="F5C542"/>
                <w:sz w:val="18"/>
              </w:rPr>
              <w:t xml:space="preserve">PLANNING RULE  </w:t>
            </w:r>
            <w:r>
              <w:rPr>
                <w:rFonts w:ascii="Calibri" w:hAnsi="Calibri"/>
                <w:b w:val="0"/>
                <w:i w:val="0"/>
                <w:color w:val="0B2A1F"/>
                <w:sz w:val="21"/>
              </w:rPr>
              <w:t>The teacher does not open with a lecture. Students first study an image, describe what they notice, and build a rule. The teacher then names the biology, gives a real evidence card, and asks for a concrete decision.</w:t>
            </w:r>
          </w:p>
        </w:tc>
      </w:tr>
    </w:tbl>
    <w:p>
      <w:pPr>
        <w:spacing w:before="0" w:after="80" w:line="269" w:lineRule="auto"/>
      </w:pPr>
    </w:p>
    <w:p>
      <w:pPr>
        <w:pStyle w:val="Heading1"/>
      </w:pPr>
      <w:r>
        <w:t>Before the unit</w:t>
      </w:r>
    </w:p>
    <w:p>
      <w:pPr>
        <w:pStyle w:val="ListBullet"/>
        <w:spacing w:after="60" w:line="259" w:lineRule="auto"/>
      </w:pPr>
      <w:r>
        <w:rPr>
          <w:rFonts w:ascii="Calibri" w:hAnsi="Calibri"/>
          <w:b w:val="0"/>
          <w:i w:val="0"/>
          <w:color w:val="0B2A1F"/>
          <w:sz w:val="21"/>
        </w:rPr>
        <w:t>Print or share the composite case file and student explainer pack.</w:t>
      </w:r>
    </w:p>
    <w:p>
      <w:pPr>
        <w:pStyle w:val="ListBullet"/>
        <w:spacing w:after="60" w:line="259" w:lineRule="auto"/>
      </w:pPr>
      <w:r>
        <w:rPr>
          <w:rFonts w:ascii="Calibri" w:hAnsi="Calibri"/>
          <w:b w:val="0"/>
          <w:i w:val="0"/>
          <w:color w:val="0B2A1F"/>
          <w:sz w:val="21"/>
        </w:rPr>
        <w:t>Open the matching deck and keep the guided notes available.</w:t>
      </w:r>
    </w:p>
    <w:p>
      <w:pPr>
        <w:pStyle w:val="ListBullet"/>
        <w:spacing w:after="60" w:line="259" w:lineRule="auto"/>
      </w:pPr>
      <w:r>
        <w:rPr>
          <w:rFonts w:ascii="Calibri" w:hAnsi="Calibri"/>
          <w:b w:val="0"/>
          <w:i w:val="0"/>
          <w:color w:val="0B2A1F"/>
          <w:sz w:val="21"/>
        </w:rPr>
        <w:t>Tell students that every required source is inside the unit. Optional links are enrichment only.</w:t>
      </w:r>
    </w:p>
    <w:p>
      <w:pPr>
        <w:pStyle w:val="ListBullet"/>
        <w:spacing w:after="60" w:line="259" w:lineRule="auto"/>
      </w:pPr>
      <w:r>
        <w:rPr>
          <w:rFonts w:ascii="Calibri" w:hAnsi="Calibri"/>
          <w:b w:val="0"/>
          <w:i w:val="0"/>
          <w:color w:val="0B2A1F"/>
          <w:sz w:val="21"/>
        </w:rPr>
        <w:t>Protect the claim ceiling: a model mechanism is not a diagnosis of CF-001.</w:t>
      </w:r>
    </w:p>
    <w:p>
      <w:r>
        <w:br w:type="page"/>
      </w:r>
    </w:p>
    <w:p>
      <w:pPr>
        <w:pStyle w:val="Heading1"/>
      </w:pPr>
      <w:r>
        <w:t>Lesson 1 | Meet Mateo</w:t>
      </w:r>
    </w:p>
    <w:p>
      <w:pPr>
        <w:spacing w:before="80" w:after="60"/>
        <w:jc w:val="center"/>
      </w:pPr>
      <w:r>
        <w:drawing>
          <wp:inline xmlns:a="http://schemas.openxmlformats.org/drawingml/2006/main" xmlns:pic="http://schemas.openxmlformats.org/drawingml/2006/picture">
            <wp:extent cx="4160520" cy="2341537"/>
            <wp:docPr id="1" name="Picture 1" descr="case file illustration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case-file-illustration.pn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160520" cy="2341537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after="160"/>
        <w:jc w:val="center"/>
      </w:pPr>
      <w:r>
        <w:rPr>
          <w:rFonts w:ascii="Calibri" w:hAnsi="Calibri"/>
          <w:b w:val="0"/>
          <w:i/>
          <w:color w:val="527267"/>
          <w:sz w:val="17"/>
        </w:rPr>
        <w:t>Visual anchor used in the matching slide deck.</w:t>
      </w:r>
    </w:p>
    <w:tbl>
      <w:tblPr>
        <w:tblW w:type="auto" w:w="0"/>
        <w:jc w:val="left"/>
        <w:tblLayout w:type="fixed"/>
        <w:tblLook w:firstColumn="1" w:firstRow="1" w:lastColumn="0" w:lastRow="0" w:noHBand="0" w:noVBand="1" w:val="04A0"/>
      </w:tblPr>
      <w:tblGrid>
        <w:gridCol w:w="9648"/>
      </w:tblGrid>
      <w:tr>
        <w:tc>
          <w:tcPr>
            <w:tcW w:type="dxa" w:w="9360"/>
            <w:shd w:fill="EAF8F0"/>
            <w:tcMar>
              <w:top w:w="100" w:type="dxa"/>
              <w:start w:w="140" w:type="dxa"/>
              <w:bottom w:w="100" w:type="dxa"/>
              <w:end w:w="140" w:type="dxa"/>
            </w:tcMar>
            <w:vAlign w:val="center"/>
          </w:tcPr>
          <w:p>
            <w:pPr>
              <w:spacing w:after="40"/>
            </w:pPr>
            <w:r>
              <w:rPr>
                <w:rFonts w:ascii="Calibri" w:hAnsi="Calibri"/>
                <w:b/>
                <w:i w:val="0"/>
                <w:color w:val="2FD27A"/>
                <w:sz w:val="18"/>
              </w:rPr>
              <w:t xml:space="preserve">LESSON GOAL  </w:t>
            </w:r>
            <w:r>
              <w:rPr>
                <w:rFonts w:ascii="Calibri" w:hAnsi="Calibri"/>
                <w:b w:val="0"/>
                <w:i w:val="0"/>
                <w:color w:val="0B2A1F"/>
                <w:sz w:val="21"/>
              </w:rPr>
              <w:t>Students separate observation from explanation and write one testable question.</w:t>
            </w:r>
          </w:p>
        </w:tc>
      </w:tr>
    </w:tbl>
    <w:p>
      <w:pPr>
        <w:spacing w:before="0" w:after="80" w:line="269" w:lineRule="auto"/>
      </w:pPr>
    </w:p>
    <w:p>
      <w:pPr>
        <w:pStyle w:val="Heading2"/>
      </w:pPr>
      <w:r>
        <w:t>Teacher sequence</w:t>
      </w:r>
    </w:p>
    <w:p>
      <w:pPr>
        <w:pStyle w:val="ListBullet"/>
        <w:spacing w:after="60" w:line="259" w:lineRule="auto"/>
      </w:pPr>
      <w:r>
        <w:rPr>
          <w:rFonts w:ascii="Calibri" w:hAnsi="Calibri"/>
          <w:b w:val="0"/>
          <w:i w:val="0"/>
          <w:color w:val="0B2A1F"/>
          <w:sz w:val="21"/>
        </w:rPr>
        <w:t>Slides 1-4: state the question, carry in the four truths, and name the take-home.</w:t>
      </w:r>
    </w:p>
    <w:p>
      <w:pPr>
        <w:pStyle w:val="ListBullet"/>
        <w:spacing w:after="60" w:line="259" w:lineRule="auto"/>
      </w:pPr>
      <w:r>
        <w:rPr>
          <w:rFonts w:ascii="Calibri" w:hAnsi="Calibri"/>
          <w:b w:val="0"/>
          <w:i w:val="0"/>
          <w:color w:val="0B2A1F"/>
          <w:sz w:val="21"/>
        </w:rPr>
        <w:t>Slide 5: show the case-file image. Ask students to list only what they see. Do not name a cause.</w:t>
      </w:r>
    </w:p>
    <w:p>
      <w:pPr>
        <w:pStyle w:val="ListBullet"/>
        <w:spacing w:after="60" w:line="259" w:lineRule="auto"/>
      </w:pPr>
      <w:r>
        <w:rPr>
          <w:rFonts w:ascii="Calibri" w:hAnsi="Calibri"/>
          <w:b w:val="0"/>
          <w:i w:val="0"/>
          <w:color w:val="0B2A1F"/>
          <w:sz w:val="21"/>
        </w:rPr>
        <w:t>Slide 6: ask which marks are observations, which marks show uncertainty, and which question evidence could answer.</w:t>
      </w:r>
    </w:p>
    <w:p>
      <w:pPr>
        <w:pStyle w:val="ListBullet"/>
        <w:spacing w:after="60" w:line="259" w:lineRule="auto"/>
      </w:pPr>
      <w:r>
        <w:rPr>
          <w:rFonts w:ascii="Calibri" w:hAnsi="Calibri"/>
          <w:b w:val="0"/>
          <w:i w:val="0"/>
          <w:color w:val="0B2A1F"/>
          <w:sz w:val="21"/>
        </w:rPr>
        <w:t>Slide 7: sort student language into facts and questions. Name the analogy rule after students defend it.</w:t>
      </w:r>
    </w:p>
    <w:p>
      <w:pPr>
        <w:pStyle w:val="ListBullet"/>
        <w:spacing w:after="60" w:line="259" w:lineRule="auto"/>
      </w:pPr>
      <w:r>
        <w:rPr>
          <w:rFonts w:ascii="Calibri" w:hAnsi="Calibri"/>
          <w:b w:val="0"/>
          <w:i w:val="0"/>
          <w:color w:val="0B2A1F"/>
          <w:sz w:val="21"/>
        </w:rPr>
        <w:t>Slide 8: introduce IRF6 as a real biology question. Read the claim ceiling aloud.</w:t>
      </w:r>
    </w:p>
    <w:p>
      <w:pPr>
        <w:pStyle w:val="ListBullet"/>
        <w:spacing w:after="60" w:line="259" w:lineRule="auto"/>
      </w:pPr>
      <w:r>
        <w:rPr>
          <w:rFonts w:ascii="Calibri" w:hAnsi="Calibri"/>
          <w:b w:val="0"/>
          <w:i w:val="0"/>
          <w:color w:val="0B2A1F"/>
          <w:sz w:val="21"/>
        </w:rPr>
        <w:t>Slides 9-11: map the case record to the biology step, then ask the team to choose the strongest next question.</w:t>
      </w:r>
    </w:p>
    <w:p>
      <w:pPr>
        <w:pStyle w:val="ListBullet"/>
        <w:spacing w:after="60" w:line="259" w:lineRule="auto"/>
      </w:pPr>
      <w:r>
        <w:rPr>
          <w:rFonts w:ascii="Calibri" w:hAnsi="Calibri"/>
          <w:b w:val="0"/>
          <w:i w:val="0"/>
          <w:color w:val="0B2A1F"/>
          <w:sz w:val="21"/>
        </w:rPr>
        <w:t>Slides 12-13: collect the exit ticket and show that the next lesson will watch the face being built.</w:t>
      </w:r>
    </w:p>
    <w:p>
      <w:pPr>
        <w:pStyle w:val="ListBullet"/>
        <w:spacing w:after="60" w:line="259" w:lineRule="auto"/>
      </w:pPr>
      <w:r>
        <w:rPr>
          <w:rFonts w:ascii="Calibri" w:hAnsi="Calibri"/>
          <w:b w:val="0"/>
          <w:i w:val="0"/>
          <w:color w:val="0B2A1F"/>
          <w:sz w:val="21"/>
        </w:rPr>
        <w:t>Teacher reason: Students need a clean difference between seeing and explaining before any gene name appears.</w:t>
      </w:r>
    </w:p>
    <w:tbl>
      <w:tblPr>
        <w:tblW w:type="auto" w:w="0"/>
        <w:jc w:val="left"/>
        <w:tblLayout w:type="fixed"/>
        <w:tblLook w:firstColumn="1" w:firstRow="1" w:lastColumn="0" w:lastRow="0" w:noHBand="0" w:noVBand="1" w:val="04A0"/>
      </w:tblPr>
      <w:tblGrid>
        <w:gridCol w:w="9648"/>
      </w:tblGrid>
      <w:tr>
        <w:tc>
          <w:tcPr>
            <w:tcW w:type="dxa" w:w="9360"/>
            <w:shd w:fill="FFF7D6"/>
            <w:tcMar>
              <w:top w:w="100" w:type="dxa"/>
              <w:start w:w="140" w:type="dxa"/>
              <w:bottom w:w="100" w:type="dxa"/>
              <w:end w:w="140" w:type="dxa"/>
            </w:tcMar>
            <w:vAlign w:val="center"/>
          </w:tcPr>
          <w:p>
            <w:pPr>
              <w:spacing w:after="40"/>
            </w:pPr>
            <w:r>
              <w:rPr>
                <w:rFonts w:ascii="Calibri" w:hAnsi="Calibri"/>
                <w:b/>
                <w:i w:val="0"/>
                <w:color w:val="F5C542"/>
                <w:sz w:val="18"/>
              </w:rPr>
              <w:t xml:space="preserve">STUDENT PRODUCT  </w:t>
            </w:r>
            <w:r>
              <w:rPr>
                <w:rFonts w:ascii="Calibri" w:hAnsi="Calibri"/>
                <w:b w:val="0"/>
                <w:i w:val="0"/>
                <w:color w:val="0B2A1F"/>
                <w:sz w:val="21"/>
              </w:rPr>
              <w:t>two observations, one testable question, and one sentence that says what the evidence cannot prove.</w:t>
            </w:r>
          </w:p>
        </w:tc>
      </w:tr>
    </w:tbl>
    <w:p>
      <w:pPr>
        <w:spacing w:before="0" w:after="80" w:line="269" w:lineRule="auto"/>
      </w:pPr>
    </w:p>
    <w:p>
      <w:r>
        <w:br w:type="page"/>
      </w:r>
    </w:p>
    <w:p>
      <w:pPr>
        <w:pStyle w:val="Heading1"/>
      </w:pPr>
      <w:r>
        <w:t>Lesson 2 | How a Face Is Built</w:t>
      </w:r>
    </w:p>
    <w:p>
      <w:pPr>
        <w:spacing w:before="80" w:after="60"/>
        <w:jc w:val="center"/>
      </w:pPr>
      <w:r>
        <w:drawing>
          <wp:inline xmlns:a="http://schemas.openxmlformats.org/drawingml/2006/main" xmlns:pic="http://schemas.openxmlformats.org/drawingml/2006/picture">
            <wp:extent cx="4160520" cy="2341537"/>
            <wp:docPr id="2" name="Picture 2" descr="bio lesson 02 face build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bio-lesson-02-face-build.pn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160520" cy="2341537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after="160"/>
        <w:jc w:val="center"/>
      </w:pPr>
      <w:r>
        <w:rPr>
          <w:rFonts w:ascii="Calibri" w:hAnsi="Calibri"/>
          <w:b w:val="0"/>
          <w:i/>
          <w:color w:val="527267"/>
          <w:sz w:val="17"/>
        </w:rPr>
        <w:t>Visual anchor used in the matching slide deck.</w:t>
      </w:r>
    </w:p>
    <w:tbl>
      <w:tblPr>
        <w:tblW w:type="auto" w:w="0"/>
        <w:jc w:val="left"/>
        <w:tblLayout w:type="fixed"/>
        <w:tblLook w:firstColumn="1" w:firstRow="1" w:lastColumn="0" w:lastRow="0" w:noHBand="0" w:noVBand="1" w:val="04A0"/>
      </w:tblPr>
      <w:tblGrid>
        <w:gridCol w:w="9648"/>
      </w:tblGrid>
      <w:tr>
        <w:tc>
          <w:tcPr>
            <w:tcW w:type="dxa" w:w="9360"/>
            <w:shd w:fill="EAF8F0"/>
            <w:tcMar>
              <w:top w:w="100" w:type="dxa"/>
              <w:start w:w="140" w:type="dxa"/>
              <w:bottom w:w="100" w:type="dxa"/>
              <w:end w:w="140" w:type="dxa"/>
            </w:tcMar>
            <w:vAlign w:val="center"/>
          </w:tcPr>
          <w:p>
            <w:pPr>
              <w:spacing w:after="40"/>
            </w:pPr>
            <w:r>
              <w:rPr>
                <w:rFonts w:ascii="Calibri" w:hAnsi="Calibri"/>
                <w:b/>
                <w:i w:val="0"/>
                <w:color w:val="2FD27A"/>
                <w:sz w:val="18"/>
              </w:rPr>
              <w:t xml:space="preserve">LESSON GOAL  </w:t>
            </w:r>
            <w:r>
              <w:rPr>
                <w:rFonts w:ascii="Calibri" w:hAnsi="Calibri"/>
                <w:b w:val="0"/>
                <w:i w:val="0"/>
                <w:color w:val="0B2A1F"/>
                <w:sz w:val="21"/>
              </w:rPr>
              <w:t>Students use a timeline to explain why growth, position, and timing all matter.</w:t>
            </w:r>
          </w:p>
        </w:tc>
      </w:tr>
    </w:tbl>
    <w:p>
      <w:pPr>
        <w:spacing w:before="0" w:after="80" w:line="269" w:lineRule="auto"/>
      </w:pPr>
    </w:p>
    <w:p>
      <w:pPr>
        <w:pStyle w:val="Heading2"/>
      </w:pPr>
      <w:r>
        <w:t>Teacher sequence</w:t>
      </w:r>
    </w:p>
    <w:p>
      <w:pPr>
        <w:pStyle w:val="ListBullet"/>
        <w:spacing w:after="60" w:line="259" w:lineRule="auto"/>
      </w:pPr>
      <w:r>
        <w:rPr>
          <w:rFonts w:ascii="Calibri" w:hAnsi="Calibri"/>
          <w:b w:val="0"/>
          <w:i w:val="0"/>
          <w:color w:val="0B2A1F"/>
          <w:sz w:val="21"/>
        </w:rPr>
        <w:t>Slides 1-4: retrieve the prior question and introduce the take-home that tissues move and join on a schedule.</w:t>
      </w:r>
    </w:p>
    <w:p>
      <w:pPr>
        <w:pStyle w:val="ListBullet"/>
        <w:spacing w:after="60" w:line="259" w:lineRule="auto"/>
      </w:pPr>
      <w:r>
        <w:rPr>
          <w:rFonts w:ascii="Calibri" w:hAnsi="Calibri"/>
          <w:b w:val="0"/>
          <w:i w:val="0"/>
          <w:color w:val="0B2A1F"/>
          <w:sz w:val="21"/>
        </w:rPr>
        <w:t>Slide 5: show the bridge-build analogy. Ask what both crews must do before the crossing works.</w:t>
      </w:r>
    </w:p>
    <w:p>
      <w:pPr>
        <w:pStyle w:val="ListBullet"/>
        <w:spacing w:after="60" w:line="259" w:lineRule="auto"/>
      </w:pPr>
      <w:r>
        <w:rPr>
          <w:rFonts w:ascii="Calibri" w:hAnsi="Calibri"/>
          <w:b w:val="0"/>
          <w:i w:val="0"/>
          <w:color w:val="0B2A1F"/>
          <w:sz w:val="21"/>
        </w:rPr>
        <w:t>Slide 6: elicit the rules: grow toward the same place, arrive in the same window, and connect.</w:t>
      </w:r>
    </w:p>
    <w:p>
      <w:pPr>
        <w:pStyle w:val="ListBullet"/>
        <w:spacing w:after="60" w:line="259" w:lineRule="auto"/>
      </w:pPr>
      <w:r>
        <w:rPr>
          <w:rFonts w:ascii="Calibri" w:hAnsi="Calibri"/>
          <w:b w:val="0"/>
          <w:i w:val="0"/>
          <w:color w:val="0B2A1F"/>
          <w:sz w:val="21"/>
        </w:rPr>
        <w:t>Slide 7: translate those rules into prominences, midline, and fusion. Point to the case timeline.</w:t>
      </w:r>
    </w:p>
    <w:p>
      <w:pPr>
        <w:pStyle w:val="ListBullet"/>
        <w:spacing w:after="60" w:line="259" w:lineRule="auto"/>
      </w:pPr>
      <w:r>
        <w:rPr>
          <w:rFonts w:ascii="Calibri" w:hAnsi="Calibri"/>
          <w:b w:val="0"/>
          <w:i w:val="0"/>
          <w:color w:val="0B2A1F"/>
          <w:sz w:val="21"/>
        </w:rPr>
        <w:t>Slide 8: show the face-build illustration and ask when a WNT9B-linked cue would be worth testing.</w:t>
      </w:r>
    </w:p>
    <w:p>
      <w:pPr>
        <w:pStyle w:val="ListBullet"/>
        <w:spacing w:after="60" w:line="259" w:lineRule="auto"/>
      </w:pPr>
      <w:r>
        <w:rPr>
          <w:rFonts w:ascii="Calibri" w:hAnsi="Calibri"/>
          <w:b w:val="0"/>
          <w:i w:val="0"/>
          <w:color w:val="0B2A1F"/>
          <w:sz w:val="21"/>
        </w:rPr>
        <w:t>Slides 9-11: label the analogy step beside the facial step, then choose whether the first test is growth, position, or timing.</w:t>
      </w:r>
    </w:p>
    <w:p>
      <w:pPr>
        <w:pStyle w:val="ListBullet"/>
        <w:spacing w:after="60" w:line="259" w:lineRule="auto"/>
      </w:pPr>
      <w:r>
        <w:rPr>
          <w:rFonts w:ascii="Calibri" w:hAnsi="Calibri"/>
          <w:b w:val="0"/>
          <w:i w:val="0"/>
          <w:color w:val="0B2A1F"/>
          <w:sz w:val="21"/>
        </w:rPr>
        <w:t>Slides 12-13: write the timing take-home and preview the question of what an opening tells us.</w:t>
      </w:r>
    </w:p>
    <w:p>
      <w:pPr>
        <w:pStyle w:val="ListBullet"/>
        <w:spacing w:after="60" w:line="259" w:lineRule="auto"/>
      </w:pPr>
      <w:r>
        <w:rPr>
          <w:rFonts w:ascii="Calibri" w:hAnsi="Calibri"/>
          <w:b w:val="0"/>
          <w:i w:val="0"/>
          <w:color w:val="0B2A1F"/>
          <w:sz w:val="21"/>
        </w:rPr>
        <w:t>Teacher reason: A visible opening is easier to reason about when students can place the missed step on a clock.</w:t>
      </w:r>
    </w:p>
    <w:tbl>
      <w:tblPr>
        <w:tblW w:type="auto" w:w="0"/>
        <w:jc w:val="left"/>
        <w:tblLayout w:type="fixed"/>
        <w:tblLook w:firstColumn="1" w:firstRow="1" w:lastColumn="0" w:lastRow="0" w:noHBand="0" w:noVBand="1" w:val="04A0"/>
      </w:tblPr>
      <w:tblGrid>
        <w:gridCol w:w="9648"/>
      </w:tblGrid>
      <w:tr>
        <w:tc>
          <w:tcPr>
            <w:tcW w:type="dxa" w:w="9360"/>
            <w:shd w:fill="FFF7D6"/>
            <w:tcMar>
              <w:top w:w="100" w:type="dxa"/>
              <w:start w:w="140" w:type="dxa"/>
              <w:bottom w:w="100" w:type="dxa"/>
              <w:end w:w="140" w:type="dxa"/>
            </w:tcMar>
            <w:vAlign w:val="center"/>
          </w:tcPr>
          <w:p>
            <w:pPr>
              <w:spacing w:after="40"/>
            </w:pPr>
            <w:r>
              <w:rPr>
                <w:rFonts w:ascii="Calibri" w:hAnsi="Calibri"/>
                <w:b/>
                <w:i w:val="0"/>
                <w:color w:val="F5C542"/>
                <w:sz w:val="18"/>
              </w:rPr>
              <w:t xml:space="preserve">STUDENT PRODUCT  </w:t>
            </w:r>
            <w:r>
              <w:rPr>
                <w:rFonts w:ascii="Calibri" w:hAnsi="Calibri"/>
                <w:b w:val="0"/>
                <w:i w:val="0"/>
                <w:color w:val="0B2A1F"/>
                <w:sz w:val="21"/>
              </w:rPr>
              <w:t>a marked week 4 to 12 timeline and a justified choice of the first process to test.</w:t>
            </w:r>
          </w:p>
        </w:tc>
      </w:tr>
    </w:tbl>
    <w:p>
      <w:pPr>
        <w:spacing w:before="0" w:after="80" w:line="269" w:lineRule="auto"/>
      </w:pPr>
    </w:p>
    <w:p>
      <w:r>
        <w:br w:type="page"/>
      </w:r>
    </w:p>
    <w:p>
      <w:pPr>
        <w:pStyle w:val="Heading1"/>
      </w:pPr>
      <w:r>
        <w:t>Lesson 3 | A Cleft Marks a Step That Did Not Finish</w:t>
      </w:r>
    </w:p>
    <w:p>
      <w:pPr>
        <w:spacing w:before="80" w:after="60"/>
        <w:jc w:val="center"/>
      </w:pPr>
      <w:r>
        <w:drawing>
          <wp:inline xmlns:a="http://schemas.openxmlformats.org/drawingml/2006/main" xmlns:pic="http://schemas.openxmlformats.org/drawingml/2006/picture">
            <wp:extent cx="4160520" cy="2341537"/>
            <wp:docPr id="3" name="Picture 3" descr="bio lesson 03 fusion gap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bio-lesson-03-fusion-gap.pn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160520" cy="2341537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after="160"/>
        <w:jc w:val="center"/>
      </w:pPr>
      <w:r>
        <w:rPr>
          <w:rFonts w:ascii="Calibri" w:hAnsi="Calibri"/>
          <w:b w:val="0"/>
          <w:i/>
          <w:color w:val="527267"/>
          <w:sz w:val="17"/>
        </w:rPr>
        <w:t>Visual anchor used in the matching slide deck.</w:t>
      </w:r>
    </w:p>
    <w:tbl>
      <w:tblPr>
        <w:tblW w:type="auto" w:w="0"/>
        <w:jc w:val="left"/>
        <w:tblLayout w:type="fixed"/>
        <w:tblLook w:firstColumn="1" w:firstRow="1" w:lastColumn="0" w:lastRow="0" w:noHBand="0" w:noVBand="1" w:val="04A0"/>
      </w:tblPr>
      <w:tblGrid>
        <w:gridCol w:w="9648"/>
      </w:tblGrid>
      <w:tr>
        <w:tc>
          <w:tcPr>
            <w:tcW w:type="dxa" w:w="9360"/>
            <w:shd w:fill="EAF8F0"/>
            <w:tcMar>
              <w:top w:w="100" w:type="dxa"/>
              <w:start w:w="140" w:type="dxa"/>
              <w:bottom w:w="100" w:type="dxa"/>
              <w:end w:w="140" w:type="dxa"/>
            </w:tcMar>
            <w:vAlign w:val="center"/>
          </w:tcPr>
          <w:p>
            <w:pPr>
              <w:spacing w:after="40"/>
            </w:pPr>
            <w:r>
              <w:rPr>
                <w:rFonts w:ascii="Calibri" w:hAnsi="Calibri"/>
                <w:b/>
                <w:i w:val="0"/>
                <w:color w:val="2FD27A"/>
                <w:sz w:val="18"/>
              </w:rPr>
              <w:t xml:space="preserve">LESSON GOAL  </w:t>
            </w:r>
            <w:r>
              <w:rPr>
                <w:rFonts w:ascii="Calibri" w:hAnsi="Calibri"/>
                <w:b w:val="0"/>
                <w:i w:val="0"/>
                <w:color w:val="0B2A1F"/>
                <w:sz w:val="21"/>
              </w:rPr>
              <w:t>Students name a cleft as an unfinished process, not a cause.</w:t>
            </w:r>
          </w:p>
        </w:tc>
      </w:tr>
    </w:tbl>
    <w:p>
      <w:pPr>
        <w:spacing w:before="0" w:after="80" w:line="269" w:lineRule="auto"/>
      </w:pPr>
    </w:p>
    <w:p>
      <w:pPr>
        <w:pStyle w:val="Heading2"/>
      </w:pPr>
      <w:r>
        <w:t>Teacher sequence</w:t>
      </w:r>
    </w:p>
    <w:p>
      <w:pPr>
        <w:pStyle w:val="ListBullet"/>
        <w:spacing w:after="60" w:line="259" w:lineRule="auto"/>
      </w:pPr>
      <w:r>
        <w:rPr>
          <w:rFonts w:ascii="Calibri" w:hAnsi="Calibri"/>
          <w:b w:val="0"/>
          <w:i w:val="0"/>
          <w:color w:val="0B2A1F"/>
          <w:sz w:val="21"/>
        </w:rPr>
        <w:t>Slides 1-4: retrieve the timing idea and state the take-home about an interrupted join.</w:t>
      </w:r>
    </w:p>
    <w:p>
      <w:pPr>
        <w:pStyle w:val="ListBullet"/>
        <w:spacing w:after="60" w:line="259" w:lineRule="auto"/>
      </w:pPr>
      <w:r>
        <w:rPr>
          <w:rFonts w:ascii="Calibri" w:hAnsi="Calibri"/>
          <w:b w:val="0"/>
          <w:i w:val="0"/>
          <w:color w:val="0B2A1F"/>
          <w:sz w:val="21"/>
        </w:rPr>
        <w:t>Slide 5: show the zipper analogy. Ask what the remaining gap tells us and what it does not tell us.</w:t>
      </w:r>
    </w:p>
    <w:p>
      <w:pPr>
        <w:pStyle w:val="ListBullet"/>
        <w:spacing w:after="60" w:line="259" w:lineRule="auto"/>
      </w:pPr>
      <w:r>
        <w:rPr>
          <w:rFonts w:ascii="Calibri" w:hAnsi="Calibri"/>
          <w:b w:val="0"/>
          <w:i w:val="0"/>
          <w:color w:val="0B2A1F"/>
          <w:sz w:val="21"/>
        </w:rPr>
        <w:t>Slide 6: let students compare growth, contact, and completion without using gene names.</w:t>
      </w:r>
    </w:p>
    <w:p>
      <w:pPr>
        <w:pStyle w:val="ListBullet"/>
        <w:spacing w:after="60" w:line="259" w:lineRule="auto"/>
      </w:pPr>
      <w:r>
        <w:rPr>
          <w:rFonts w:ascii="Calibri" w:hAnsi="Calibri"/>
          <w:b w:val="0"/>
          <w:i w:val="0"/>
          <w:color w:val="0B2A1F"/>
          <w:sz w:val="21"/>
        </w:rPr>
        <w:t>Slide 7: write the process rule: edges must meet and the join must finish.</w:t>
      </w:r>
    </w:p>
    <w:p>
      <w:pPr>
        <w:pStyle w:val="ListBullet"/>
        <w:spacing w:after="60" w:line="259" w:lineRule="auto"/>
      </w:pPr>
      <w:r>
        <w:rPr>
          <w:rFonts w:ascii="Calibri" w:hAnsi="Calibri"/>
          <w:b w:val="0"/>
          <w:i w:val="0"/>
          <w:color w:val="0B2A1F"/>
          <w:sz w:val="21"/>
        </w:rPr>
        <w:t>Slide 8: show the fusion-gap figure and introduce IRF6 as evidence about epithelial cell behavior.</w:t>
      </w:r>
    </w:p>
    <w:p>
      <w:pPr>
        <w:pStyle w:val="ListBullet"/>
        <w:spacing w:after="60" w:line="259" w:lineRule="auto"/>
      </w:pPr>
      <w:r>
        <w:rPr>
          <w:rFonts w:ascii="Calibri" w:hAnsi="Calibri"/>
          <w:b w:val="0"/>
          <w:i w:val="0"/>
          <w:color w:val="0B2A1F"/>
          <w:sz w:val="21"/>
        </w:rPr>
        <w:t>Slides 9-11: label the analogy step beside the biology step and decide which evidence would separate contact failure from seam failure.</w:t>
      </w:r>
    </w:p>
    <w:p>
      <w:pPr>
        <w:pStyle w:val="ListBullet"/>
        <w:spacing w:after="60" w:line="259" w:lineRule="auto"/>
      </w:pPr>
      <w:r>
        <w:rPr>
          <w:rFonts w:ascii="Calibri" w:hAnsi="Calibri"/>
          <w:b w:val="0"/>
          <w:i w:val="0"/>
          <w:color w:val="0B2A1F"/>
          <w:sz w:val="21"/>
        </w:rPr>
        <w:t>Slides 12-13: collect a one-sentence process explanation and bridge to the cells that travel to the build site.</w:t>
      </w:r>
    </w:p>
    <w:p>
      <w:pPr>
        <w:pStyle w:val="ListBullet"/>
        <w:spacing w:after="60" w:line="259" w:lineRule="auto"/>
      </w:pPr>
      <w:r>
        <w:rPr>
          <w:rFonts w:ascii="Calibri" w:hAnsi="Calibri"/>
          <w:b w:val="0"/>
          <w:i w:val="0"/>
          <w:color w:val="0B2A1F"/>
          <w:sz w:val="21"/>
        </w:rPr>
        <w:t>Teacher reason: The word cleft names the result. Students need practice stopping short of an unsupported cause.</w:t>
      </w:r>
    </w:p>
    <w:tbl>
      <w:tblPr>
        <w:tblW w:type="auto" w:w="0"/>
        <w:jc w:val="left"/>
        <w:tblLayout w:type="fixed"/>
        <w:tblLook w:firstColumn="1" w:firstRow="1" w:lastColumn="0" w:lastRow="0" w:noHBand="0" w:noVBand="1" w:val="04A0"/>
      </w:tblPr>
      <w:tblGrid>
        <w:gridCol w:w="9648"/>
      </w:tblGrid>
      <w:tr>
        <w:tc>
          <w:tcPr>
            <w:tcW w:type="dxa" w:w="9360"/>
            <w:shd w:fill="FFF7D6"/>
            <w:tcMar>
              <w:top w:w="100" w:type="dxa"/>
              <w:start w:w="140" w:type="dxa"/>
              <w:bottom w:w="100" w:type="dxa"/>
              <w:end w:w="140" w:type="dxa"/>
            </w:tcMar>
            <w:vAlign w:val="center"/>
          </w:tcPr>
          <w:p>
            <w:pPr>
              <w:spacing w:after="40"/>
            </w:pPr>
            <w:r>
              <w:rPr>
                <w:rFonts w:ascii="Calibri" w:hAnsi="Calibri"/>
                <w:b/>
                <w:i w:val="0"/>
                <w:color w:val="F5C542"/>
                <w:sz w:val="18"/>
              </w:rPr>
              <w:t xml:space="preserve">STUDENT PRODUCT  </w:t>
            </w:r>
            <w:r>
              <w:rPr>
                <w:rFonts w:ascii="Calibri" w:hAnsi="Calibri"/>
                <w:b w:val="0"/>
                <w:i w:val="0"/>
                <w:color w:val="0B2A1F"/>
                <w:sz w:val="21"/>
              </w:rPr>
              <w:t>one process claim, one supplied evidence card, and one limitation statement.</w:t>
            </w:r>
          </w:p>
        </w:tc>
      </w:tr>
    </w:tbl>
    <w:p>
      <w:pPr>
        <w:spacing w:before="0" w:after="80" w:line="269" w:lineRule="auto"/>
      </w:pPr>
    </w:p>
    <w:p>
      <w:r>
        <w:br w:type="page"/>
      </w:r>
    </w:p>
    <w:p>
      <w:pPr>
        <w:pStyle w:val="Heading1"/>
      </w:pPr>
      <w:r>
        <w:t>Lesson 4 | The Cells That Build the Face</w:t>
      </w:r>
    </w:p>
    <w:p>
      <w:pPr>
        <w:spacing w:before="80" w:after="60"/>
        <w:jc w:val="center"/>
      </w:pPr>
      <w:r>
        <w:drawing>
          <wp:inline xmlns:a="http://schemas.openxmlformats.org/drawingml/2006/main" xmlns:pic="http://schemas.openxmlformats.org/drawingml/2006/picture">
            <wp:extent cx="4160520" cy="2341537"/>
            <wp:docPr id="4" name="Picture 4" descr="bio lesson 04 neural crest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bio-lesson-04-neural-crest.pn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160520" cy="2341537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after="160"/>
        <w:jc w:val="center"/>
      </w:pPr>
      <w:r>
        <w:rPr>
          <w:rFonts w:ascii="Calibri" w:hAnsi="Calibri"/>
          <w:b w:val="0"/>
          <w:i/>
          <w:color w:val="527267"/>
          <w:sz w:val="17"/>
        </w:rPr>
        <w:t>Visual anchor used in the matching slide deck.</w:t>
      </w:r>
    </w:p>
    <w:tbl>
      <w:tblPr>
        <w:tblW w:type="auto" w:w="0"/>
        <w:jc w:val="left"/>
        <w:tblLayout w:type="fixed"/>
        <w:tblLook w:firstColumn="1" w:firstRow="1" w:lastColumn="0" w:lastRow="0" w:noHBand="0" w:noVBand="1" w:val="04A0"/>
      </w:tblPr>
      <w:tblGrid>
        <w:gridCol w:w="9648"/>
      </w:tblGrid>
      <w:tr>
        <w:tc>
          <w:tcPr>
            <w:tcW w:type="dxa" w:w="9360"/>
            <w:shd w:fill="EAF8F0"/>
            <w:tcMar>
              <w:top w:w="100" w:type="dxa"/>
              <w:start w:w="140" w:type="dxa"/>
              <w:bottom w:w="100" w:type="dxa"/>
              <w:end w:w="140" w:type="dxa"/>
            </w:tcMar>
            <w:vAlign w:val="center"/>
          </w:tcPr>
          <w:p>
            <w:pPr>
              <w:spacing w:after="40"/>
            </w:pPr>
            <w:r>
              <w:rPr>
                <w:rFonts w:ascii="Calibri" w:hAnsi="Calibri"/>
                <w:b/>
                <w:i w:val="0"/>
                <w:color w:val="2FD27A"/>
                <w:sz w:val="18"/>
              </w:rPr>
              <w:t xml:space="preserve">LESSON GOAL  </w:t>
            </w:r>
            <w:r>
              <w:rPr>
                <w:rFonts w:ascii="Calibri" w:hAnsi="Calibri"/>
                <w:b w:val="0"/>
                <w:i w:val="0"/>
                <w:color w:val="0B2A1F"/>
                <w:sz w:val="21"/>
              </w:rPr>
              <w:t>Students explain how a migration problem can appear later as a tissue problem.</w:t>
            </w:r>
          </w:p>
        </w:tc>
      </w:tr>
    </w:tbl>
    <w:p>
      <w:pPr>
        <w:spacing w:before="0" w:after="80" w:line="269" w:lineRule="auto"/>
      </w:pPr>
    </w:p>
    <w:p>
      <w:pPr>
        <w:pStyle w:val="Heading2"/>
      </w:pPr>
      <w:r>
        <w:t>Teacher sequence</w:t>
      </w:r>
    </w:p>
    <w:p>
      <w:pPr>
        <w:pStyle w:val="ListBullet"/>
        <w:spacing w:after="60" w:line="259" w:lineRule="auto"/>
      </w:pPr>
      <w:r>
        <w:rPr>
          <w:rFonts w:ascii="Calibri" w:hAnsi="Calibri"/>
          <w:b w:val="0"/>
          <w:i w:val="0"/>
          <w:color w:val="0B2A1F"/>
          <w:sz w:val="21"/>
        </w:rPr>
        <w:t>Slides 1-4: retrieve the unfinished-join idea and add the truth that cells move.</w:t>
      </w:r>
    </w:p>
    <w:p>
      <w:pPr>
        <w:pStyle w:val="ListBullet"/>
        <w:spacing w:after="60" w:line="259" w:lineRule="auto"/>
      </w:pPr>
      <w:r>
        <w:rPr>
          <w:rFonts w:ascii="Calibri" w:hAnsi="Calibri"/>
          <w:b w:val="0"/>
          <w:i w:val="0"/>
          <w:color w:val="0B2A1F"/>
          <w:sz w:val="21"/>
        </w:rPr>
        <w:t>Slide 5: show the traffic analogy. Ask what a route, barrier, and destination might represent.</w:t>
      </w:r>
    </w:p>
    <w:p>
      <w:pPr>
        <w:pStyle w:val="ListBullet"/>
        <w:spacing w:after="60" w:line="259" w:lineRule="auto"/>
      </w:pPr>
      <w:r>
        <w:rPr>
          <w:rFonts w:ascii="Calibri" w:hAnsi="Calibri"/>
          <w:b w:val="0"/>
          <w:i w:val="0"/>
          <w:color w:val="0B2A1F"/>
          <w:sz w:val="21"/>
        </w:rPr>
        <w:t>Slide 6: collect observations about paths and missed exits. Keep the word neural crest hidden until the rule is clear.</w:t>
      </w:r>
    </w:p>
    <w:p>
      <w:pPr>
        <w:pStyle w:val="ListBullet"/>
        <w:spacing w:after="60" w:line="259" w:lineRule="auto"/>
      </w:pPr>
      <w:r>
        <w:rPr>
          <w:rFonts w:ascii="Calibri" w:hAnsi="Calibri"/>
          <w:b w:val="0"/>
          <w:i w:val="0"/>
          <w:color w:val="0B2A1F"/>
          <w:sz w:val="21"/>
        </w:rPr>
        <w:t>Slide 7: map route to migration, cars to cells, and destination to facial tissue.</w:t>
      </w:r>
    </w:p>
    <w:p>
      <w:pPr>
        <w:pStyle w:val="ListBullet"/>
        <w:spacing w:after="60" w:line="259" w:lineRule="auto"/>
      </w:pPr>
      <w:r>
        <w:rPr>
          <w:rFonts w:ascii="Calibri" w:hAnsi="Calibri"/>
          <w:b w:val="0"/>
          <w:i w:val="0"/>
          <w:color w:val="0B2A1F"/>
          <w:sz w:val="21"/>
        </w:rPr>
        <w:t>Slide 8: show the neural crest illustration and the SOX10 marker card. State that a marker tracks location but does not prove cause.</w:t>
      </w:r>
    </w:p>
    <w:p>
      <w:pPr>
        <w:pStyle w:val="ListBullet"/>
        <w:spacing w:after="60" w:line="259" w:lineRule="auto"/>
      </w:pPr>
      <w:r>
        <w:rPr>
          <w:rFonts w:ascii="Calibri" w:hAnsi="Calibri"/>
          <w:b w:val="0"/>
          <w:i w:val="0"/>
          <w:color w:val="0B2A1F"/>
          <w:sz w:val="21"/>
        </w:rPr>
        <w:t>Slides 9-11: map the route to a facial prominence and choose the next test if too few cells arrive.</w:t>
      </w:r>
    </w:p>
    <w:p>
      <w:pPr>
        <w:pStyle w:val="ListBullet"/>
        <w:spacing w:after="60" w:line="259" w:lineRule="auto"/>
      </w:pPr>
      <w:r>
        <w:rPr>
          <w:rFonts w:ascii="Calibri" w:hAnsi="Calibri"/>
          <w:b w:val="0"/>
          <w:i w:val="0"/>
          <w:color w:val="0B2A1F"/>
          <w:sz w:val="21"/>
        </w:rPr>
        <w:t>Slides 12-13: collect the migration explanation and bridge to cell fate after arrival.</w:t>
      </w:r>
    </w:p>
    <w:p>
      <w:pPr>
        <w:pStyle w:val="ListBullet"/>
        <w:spacing w:after="60" w:line="259" w:lineRule="auto"/>
      </w:pPr>
      <w:r>
        <w:rPr>
          <w:rFonts w:ascii="Calibri" w:hAnsi="Calibri"/>
          <w:b w:val="0"/>
          <w:i w:val="0"/>
          <w:color w:val="0B2A1F"/>
          <w:sz w:val="21"/>
        </w:rPr>
        <w:t>Teacher reason: Students often treat a tissue as if it appears in place. The route makes the developmental story visible.</w:t>
      </w:r>
    </w:p>
    <w:tbl>
      <w:tblPr>
        <w:tblW w:type="auto" w:w="0"/>
        <w:jc w:val="left"/>
        <w:tblLayout w:type="fixed"/>
        <w:tblLook w:firstColumn="1" w:firstRow="1" w:lastColumn="0" w:lastRow="0" w:noHBand="0" w:noVBand="1" w:val="04A0"/>
      </w:tblPr>
      <w:tblGrid>
        <w:gridCol w:w="9648"/>
      </w:tblGrid>
      <w:tr>
        <w:tc>
          <w:tcPr>
            <w:tcW w:type="dxa" w:w="9360"/>
            <w:shd w:fill="FFF7D6"/>
            <w:tcMar>
              <w:top w:w="100" w:type="dxa"/>
              <w:start w:w="140" w:type="dxa"/>
              <w:bottom w:w="100" w:type="dxa"/>
              <w:end w:w="140" w:type="dxa"/>
            </w:tcMar>
            <w:vAlign w:val="center"/>
          </w:tcPr>
          <w:p>
            <w:pPr>
              <w:spacing w:after="40"/>
            </w:pPr>
            <w:r>
              <w:rPr>
                <w:rFonts w:ascii="Calibri" w:hAnsi="Calibri"/>
                <w:b/>
                <w:i w:val="0"/>
                <w:color w:val="F5C542"/>
                <w:sz w:val="18"/>
              </w:rPr>
              <w:t xml:space="preserve">STUDENT PRODUCT  </w:t>
            </w:r>
            <w:r>
              <w:rPr>
                <w:rFonts w:ascii="Calibri" w:hAnsi="Calibri"/>
                <w:b w:val="0"/>
                <w:i w:val="0"/>
                <w:color w:val="0B2A1F"/>
                <w:sz w:val="21"/>
              </w:rPr>
              <w:t>an arrowed migration sketch and a claim that stays below the marker ceiling.</w:t>
            </w:r>
          </w:p>
        </w:tc>
      </w:tr>
    </w:tbl>
    <w:p>
      <w:pPr>
        <w:spacing w:before="0" w:after="80" w:line="269" w:lineRule="auto"/>
      </w:pPr>
    </w:p>
    <w:p>
      <w:r>
        <w:br w:type="page"/>
      </w:r>
    </w:p>
    <w:p>
      <w:pPr>
        <w:pStyle w:val="Heading1"/>
      </w:pPr>
      <w:r>
        <w:t>Lesson 5 | How Cells Choose What to Become</w:t>
      </w:r>
    </w:p>
    <w:p>
      <w:pPr>
        <w:spacing w:before="80" w:after="60"/>
        <w:jc w:val="center"/>
      </w:pPr>
      <w:r>
        <w:drawing>
          <wp:inline xmlns:a="http://schemas.openxmlformats.org/drawingml/2006/main" xmlns:pic="http://schemas.openxmlformats.org/drawingml/2006/picture">
            <wp:extent cx="4160520" cy="2341537"/>
            <wp:docPr id="5" name="Picture 5" descr="bio lesson 05 cell fate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bio-lesson-05-cell-fate.pn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160520" cy="2341537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after="160"/>
        <w:jc w:val="center"/>
      </w:pPr>
      <w:r>
        <w:rPr>
          <w:rFonts w:ascii="Calibri" w:hAnsi="Calibri"/>
          <w:b w:val="0"/>
          <w:i/>
          <w:color w:val="527267"/>
          <w:sz w:val="17"/>
        </w:rPr>
        <w:t>Visual anchor used in the matching slide deck.</w:t>
      </w:r>
    </w:p>
    <w:tbl>
      <w:tblPr>
        <w:tblW w:type="auto" w:w="0"/>
        <w:jc w:val="left"/>
        <w:tblLayout w:type="fixed"/>
        <w:tblLook w:firstColumn="1" w:firstRow="1" w:lastColumn="0" w:lastRow="0" w:noHBand="0" w:noVBand="1" w:val="04A0"/>
      </w:tblPr>
      <w:tblGrid>
        <w:gridCol w:w="9648"/>
      </w:tblGrid>
      <w:tr>
        <w:tc>
          <w:tcPr>
            <w:tcW w:type="dxa" w:w="9360"/>
            <w:shd w:fill="EAF8F0"/>
            <w:tcMar>
              <w:top w:w="100" w:type="dxa"/>
              <w:start w:w="140" w:type="dxa"/>
              <w:bottom w:w="100" w:type="dxa"/>
              <w:end w:w="140" w:type="dxa"/>
            </w:tcMar>
            <w:vAlign w:val="center"/>
          </w:tcPr>
          <w:p>
            <w:pPr>
              <w:spacing w:after="40"/>
            </w:pPr>
            <w:r>
              <w:rPr>
                <w:rFonts w:ascii="Calibri" w:hAnsi="Calibri"/>
                <w:b/>
                <w:i w:val="0"/>
                <w:color w:val="2FD27A"/>
                <w:sz w:val="18"/>
              </w:rPr>
              <w:t xml:space="preserve">LESSON GOAL  </w:t>
            </w:r>
            <w:r>
              <w:rPr>
                <w:rFonts w:ascii="Calibri" w:hAnsi="Calibri"/>
                <w:b w:val="0"/>
                <w:i w:val="0"/>
                <w:color w:val="0B2A1F"/>
                <w:sz w:val="21"/>
              </w:rPr>
              <w:t>Students explain why nearby cells with the same DNA can take different roles.</w:t>
            </w:r>
          </w:p>
        </w:tc>
      </w:tr>
    </w:tbl>
    <w:p>
      <w:pPr>
        <w:spacing w:before="0" w:after="80" w:line="269" w:lineRule="auto"/>
      </w:pPr>
    </w:p>
    <w:p>
      <w:pPr>
        <w:pStyle w:val="Heading2"/>
      </w:pPr>
      <w:r>
        <w:t>Teacher sequence</w:t>
      </w:r>
    </w:p>
    <w:p>
      <w:pPr>
        <w:pStyle w:val="ListBullet"/>
        <w:spacing w:after="60" w:line="259" w:lineRule="auto"/>
      </w:pPr>
      <w:r>
        <w:rPr>
          <w:rFonts w:ascii="Calibri" w:hAnsi="Calibri"/>
          <w:b w:val="0"/>
          <w:i w:val="0"/>
          <w:color w:val="0B2A1F"/>
          <w:sz w:val="21"/>
        </w:rPr>
        <w:t>Slides 1-4: retrieve arrival and introduce internal state plus external cue.</w:t>
      </w:r>
    </w:p>
    <w:p>
      <w:pPr>
        <w:pStyle w:val="ListBullet"/>
        <w:spacing w:after="60" w:line="259" w:lineRule="auto"/>
      </w:pPr>
      <w:r>
        <w:rPr>
          <w:rFonts w:ascii="Calibri" w:hAnsi="Calibri"/>
          <w:b w:val="0"/>
          <w:i w:val="0"/>
          <w:color w:val="0B2A1F"/>
          <w:sz w:val="21"/>
        </w:rPr>
        <w:t>Slide 5: show the GPS and driver analogy. Ask what information is inside and outside the car.</w:t>
      </w:r>
    </w:p>
    <w:p>
      <w:pPr>
        <w:pStyle w:val="ListBullet"/>
        <w:spacing w:after="60" w:line="259" w:lineRule="auto"/>
      </w:pPr>
      <w:r>
        <w:rPr>
          <w:rFonts w:ascii="Calibri" w:hAnsi="Calibri"/>
          <w:b w:val="0"/>
          <w:i w:val="0"/>
          <w:color w:val="0B2A1F"/>
          <w:sz w:val="21"/>
        </w:rPr>
        <w:t>Slide 6: ask students to find a cue, a choice, and a constraint in the picture.</w:t>
      </w:r>
    </w:p>
    <w:p>
      <w:pPr>
        <w:pStyle w:val="ListBullet"/>
        <w:spacing w:after="60" w:line="259" w:lineRule="auto"/>
      </w:pPr>
      <w:r>
        <w:rPr>
          <w:rFonts w:ascii="Calibri" w:hAnsi="Calibri"/>
          <w:b w:val="0"/>
          <w:i w:val="0"/>
          <w:color w:val="0B2A1F"/>
          <w:sz w:val="21"/>
        </w:rPr>
        <w:t>Slide 7: name cell fate, instructive cue, and permissive condition in plain English.</w:t>
      </w:r>
    </w:p>
    <w:p>
      <w:pPr>
        <w:pStyle w:val="ListBullet"/>
        <w:spacing w:after="60" w:line="259" w:lineRule="auto"/>
      </w:pPr>
      <w:r>
        <w:rPr>
          <w:rFonts w:ascii="Calibri" w:hAnsi="Calibri"/>
          <w:b w:val="0"/>
          <w:i w:val="0"/>
          <w:color w:val="0B2A1F"/>
          <w:sz w:val="21"/>
        </w:rPr>
        <w:t>Slide 8: show the cell-fate illustration and the WNT, RUNX2, and SOX9 card.</w:t>
      </w:r>
    </w:p>
    <w:p>
      <w:pPr>
        <w:pStyle w:val="ListBullet"/>
        <w:spacing w:after="60" w:line="259" w:lineRule="auto"/>
      </w:pPr>
      <w:r>
        <w:rPr>
          <w:rFonts w:ascii="Calibri" w:hAnsi="Calibri"/>
          <w:b w:val="0"/>
          <w:i w:val="0"/>
          <w:color w:val="0B2A1F"/>
          <w:sz w:val="21"/>
        </w:rPr>
        <w:t>Slides 9-11: map analogy to biology, then decide which fate is more likely in a concrete cue scenario.</w:t>
      </w:r>
    </w:p>
    <w:p>
      <w:pPr>
        <w:pStyle w:val="ListBullet"/>
        <w:spacing w:after="60" w:line="259" w:lineRule="auto"/>
      </w:pPr>
      <w:r>
        <w:rPr>
          <w:rFonts w:ascii="Calibri" w:hAnsi="Calibri"/>
          <w:b w:val="0"/>
          <w:i w:val="0"/>
          <w:color w:val="0B2A1F"/>
          <w:sz w:val="21"/>
        </w:rPr>
        <w:t>Slides 12-13: collect a contrast between instructive and permissive and bridge to seam remodeling.</w:t>
      </w:r>
    </w:p>
    <w:p>
      <w:pPr>
        <w:pStyle w:val="ListBullet"/>
        <w:spacing w:after="60" w:line="259" w:lineRule="auto"/>
      </w:pPr>
      <w:r>
        <w:rPr>
          <w:rFonts w:ascii="Calibri" w:hAnsi="Calibri"/>
          <w:b w:val="0"/>
          <w:i w:val="0"/>
          <w:color w:val="0B2A1F"/>
          <w:sz w:val="21"/>
        </w:rPr>
        <w:t>Teacher reason: Students need the logic of a decision before molecular labels. The analogy keeps the idea causal but not deterministic.</w:t>
      </w:r>
    </w:p>
    <w:tbl>
      <w:tblPr>
        <w:tblW w:type="auto" w:w="0"/>
        <w:jc w:val="left"/>
        <w:tblLayout w:type="fixed"/>
        <w:tblLook w:firstColumn="1" w:firstRow="1" w:lastColumn="0" w:lastRow="0" w:noHBand="0" w:noVBand="1" w:val="04A0"/>
      </w:tblPr>
      <w:tblGrid>
        <w:gridCol w:w="9648"/>
      </w:tblGrid>
      <w:tr>
        <w:tc>
          <w:tcPr>
            <w:tcW w:type="dxa" w:w="9360"/>
            <w:shd w:fill="FFF7D6"/>
            <w:tcMar>
              <w:top w:w="100" w:type="dxa"/>
              <w:start w:w="140" w:type="dxa"/>
              <w:bottom w:w="100" w:type="dxa"/>
              <w:end w:w="140" w:type="dxa"/>
            </w:tcMar>
            <w:vAlign w:val="center"/>
          </w:tcPr>
          <w:p>
            <w:pPr>
              <w:spacing w:after="40"/>
            </w:pPr>
            <w:r>
              <w:rPr>
                <w:rFonts w:ascii="Calibri" w:hAnsi="Calibri"/>
                <w:b/>
                <w:i w:val="0"/>
                <w:color w:val="F5C542"/>
                <w:sz w:val="18"/>
              </w:rPr>
              <w:t xml:space="preserve">STUDENT PRODUCT  </w:t>
            </w:r>
            <w:r>
              <w:rPr>
                <w:rFonts w:ascii="Calibri" w:hAnsi="Calibri"/>
                <w:b w:val="0"/>
                <w:i w:val="0"/>
                <w:color w:val="0B2A1F"/>
                <w:sz w:val="21"/>
              </w:rPr>
              <w:t>a cue plus internal-state explanation and a choice between competing cell fates.</w:t>
            </w:r>
          </w:p>
        </w:tc>
      </w:tr>
    </w:tbl>
    <w:p>
      <w:pPr>
        <w:spacing w:before="0" w:after="80" w:line="269" w:lineRule="auto"/>
      </w:pPr>
    </w:p>
    <w:p>
      <w:r>
        <w:br w:type="page"/>
      </w:r>
    </w:p>
    <w:p>
      <w:pPr>
        <w:pStyle w:val="Heading1"/>
      </w:pPr>
      <w:r>
        <w:t>Lesson 6 | Fusion Requires Sculpting</w:t>
      </w:r>
    </w:p>
    <w:p>
      <w:pPr>
        <w:spacing w:before="80" w:after="60"/>
        <w:jc w:val="center"/>
      </w:pPr>
      <w:r>
        <w:drawing>
          <wp:inline xmlns:a="http://schemas.openxmlformats.org/drawingml/2006/main" xmlns:pic="http://schemas.openxmlformats.org/drawingml/2006/picture">
            <wp:extent cx="4160520" cy="2341537"/>
            <wp:docPr id="6" name="Picture 6" descr="bio lesson 06 seam remodeli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bio-lesson-06-seam-remodeling.pn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160520" cy="2341537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after="160"/>
        <w:jc w:val="center"/>
      </w:pPr>
      <w:r>
        <w:rPr>
          <w:rFonts w:ascii="Calibri" w:hAnsi="Calibri"/>
          <w:b w:val="0"/>
          <w:i/>
          <w:color w:val="527267"/>
          <w:sz w:val="17"/>
        </w:rPr>
        <w:t>Visual anchor used in the matching slide deck.</w:t>
      </w:r>
    </w:p>
    <w:tbl>
      <w:tblPr>
        <w:tblW w:type="auto" w:w="0"/>
        <w:jc w:val="left"/>
        <w:tblLayout w:type="fixed"/>
        <w:tblLook w:firstColumn="1" w:firstRow="1" w:lastColumn="0" w:lastRow="0" w:noHBand="0" w:noVBand="1" w:val="04A0"/>
      </w:tblPr>
      <w:tblGrid>
        <w:gridCol w:w="9648"/>
      </w:tblGrid>
      <w:tr>
        <w:tc>
          <w:tcPr>
            <w:tcW w:type="dxa" w:w="9360"/>
            <w:shd w:fill="EAF8F0"/>
            <w:tcMar>
              <w:top w:w="100" w:type="dxa"/>
              <w:start w:w="140" w:type="dxa"/>
              <w:bottom w:w="100" w:type="dxa"/>
              <w:end w:w="140" w:type="dxa"/>
            </w:tcMar>
            <w:vAlign w:val="center"/>
          </w:tcPr>
          <w:p>
            <w:pPr>
              <w:spacing w:after="40"/>
            </w:pPr>
            <w:r>
              <w:rPr>
                <w:rFonts w:ascii="Calibri" w:hAnsi="Calibri"/>
                <w:b/>
                <w:i w:val="0"/>
                <w:color w:val="2FD27A"/>
                <w:sz w:val="18"/>
              </w:rPr>
              <w:t xml:space="preserve">LESSON GOAL  </w:t>
            </w:r>
            <w:r>
              <w:rPr>
                <w:rFonts w:ascii="Calibri" w:hAnsi="Calibri"/>
                <w:b w:val="0"/>
                <w:i w:val="0"/>
                <w:color w:val="0B2A1F"/>
                <w:sz w:val="21"/>
              </w:rPr>
              <w:t>Students explain why contact is not the same as a finished palate.</w:t>
            </w:r>
          </w:p>
        </w:tc>
      </w:tr>
    </w:tbl>
    <w:p>
      <w:pPr>
        <w:spacing w:before="0" w:after="80" w:line="269" w:lineRule="auto"/>
      </w:pPr>
    </w:p>
    <w:p>
      <w:pPr>
        <w:pStyle w:val="Heading2"/>
      </w:pPr>
      <w:r>
        <w:t>Teacher sequence</w:t>
      </w:r>
    </w:p>
    <w:p>
      <w:pPr>
        <w:pStyle w:val="ListBullet"/>
        <w:spacing w:after="60" w:line="259" w:lineRule="auto"/>
      </w:pPr>
      <w:r>
        <w:rPr>
          <w:rFonts w:ascii="Calibri" w:hAnsi="Calibri"/>
          <w:b w:val="0"/>
          <w:i w:val="0"/>
          <w:color w:val="0B2A1F"/>
          <w:sz w:val="21"/>
        </w:rPr>
        <w:t>Slides 1-4: retrieve cell fate and state the sculpting take-home.</w:t>
      </w:r>
    </w:p>
    <w:p>
      <w:pPr>
        <w:pStyle w:val="ListBullet"/>
        <w:spacing w:after="60" w:line="259" w:lineRule="auto"/>
      </w:pPr>
      <w:r>
        <w:rPr>
          <w:rFonts w:ascii="Calibri" w:hAnsi="Calibri"/>
          <w:b w:val="0"/>
          <w:i w:val="0"/>
          <w:color w:val="0B2A1F"/>
          <w:sz w:val="21"/>
        </w:rPr>
        <w:t>Slide 5: show the bridge-scaffolding analogy. Ask why temporary support must be removed.</w:t>
      </w:r>
    </w:p>
    <w:p>
      <w:pPr>
        <w:pStyle w:val="ListBullet"/>
        <w:spacing w:after="60" w:line="259" w:lineRule="auto"/>
      </w:pPr>
      <w:r>
        <w:rPr>
          <w:rFonts w:ascii="Calibri" w:hAnsi="Calibri"/>
          <w:b w:val="0"/>
          <w:i w:val="0"/>
          <w:color w:val="0B2A1F"/>
          <w:sz w:val="21"/>
        </w:rPr>
        <w:t>Slide 6: sequence approach, contact, seam, and remodeling from the image.</w:t>
      </w:r>
    </w:p>
    <w:p>
      <w:pPr>
        <w:pStyle w:val="ListBullet"/>
        <w:spacing w:after="60" w:line="259" w:lineRule="auto"/>
      </w:pPr>
      <w:r>
        <w:rPr>
          <w:rFonts w:ascii="Calibri" w:hAnsi="Calibri"/>
          <w:b w:val="0"/>
          <w:i w:val="0"/>
          <w:color w:val="0B2A1F"/>
          <w:sz w:val="21"/>
        </w:rPr>
        <w:t>Slide 7: name the rule that removal can be part of construction. Define seam, remodel, EMT, and apoptosis before asking students to use them.</w:t>
      </w:r>
    </w:p>
    <w:p>
      <w:pPr>
        <w:pStyle w:val="ListBullet"/>
        <w:spacing w:after="60" w:line="259" w:lineRule="auto"/>
      </w:pPr>
      <w:r>
        <w:rPr>
          <w:rFonts w:ascii="Calibri" w:hAnsi="Calibri"/>
          <w:b w:val="0"/>
          <w:i w:val="0"/>
          <w:color w:val="0B2A1F"/>
          <w:sz w:val="21"/>
        </w:rPr>
        <w:t>Slide 8: show the seam-remodeling figure and TGFB3 evidence card.</w:t>
      </w:r>
    </w:p>
    <w:p>
      <w:pPr>
        <w:pStyle w:val="ListBullet"/>
        <w:spacing w:after="60" w:line="259" w:lineRule="auto"/>
      </w:pPr>
      <w:r>
        <w:rPr>
          <w:rFonts w:ascii="Calibri" w:hAnsi="Calibri"/>
          <w:b w:val="0"/>
          <w:i w:val="0"/>
          <w:color w:val="0B2A1F"/>
          <w:sz w:val="21"/>
        </w:rPr>
        <w:t>Slides 9-11: map scaffolding to seam, then decide whether the case points first to growth, contact, or remodeling.</w:t>
      </w:r>
    </w:p>
    <w:p>
      <w:pPr>
        <w:pStyle w:val="ListBullet"/>
        <w:spacing w:after="60" w:line="259" w:lineRule="auto"/>
      </w:pPr>
      <w:r>
        <w:rPr>
          <w:rFonts w:ascii="Calibri" w:hAnsi="Calibri"/>
          <w:b w:val="0"/>
          <w:i w:val="0"/>
          <w:color w:val="0B2A1F"/>
          <w:sz w:val="21"/>
        </w:rPr>
        <w:t>Slides 12-13: collect a one-sentence explanation of why more growth cannot repair every failure.</w:t>
      </w:r>
    </w:p>
    <w:p>
      <w:pPr>
        <w:pStyle w:val="ListBullet"/>
        <w:spacing w:after="60" w:line="259" w:lineRule="auto"/>
      </w:pPr>
      <w:r>
        <w:rPr>
          <w:rFonts w:ascii="Calibri" w:hAnsi="Calibri"/>
          <w:b w:val="0"/>
          <w:i w:val="0"/>
          <w:color w:val="0B2A1F"/>
          <w:sz w:val="21"/>
        </w:rPr>
        <w:t>Teacher reason: This lesson prevents the common misconception that growth alone makes a continuous structure.</w:t>
      </w:r>
    </w:p>
    <w:tbl>
      <w:tblPr>
        <w:tblW w:type="auto" w:w="0"/>
        <w:jc w:val="left"/>
        <w:tblLayout w:type="fixed"/>
        <w:tblLook w:firstColumn="1" w:firstRow="1" w:lastColumn="0" w:lastRow="0" w:noHBand="0" w:noVBand="1" w:val="04A0"/>
      </w:tblPr>
      <w:tblGrid>
        <w:gridCol w:w="9648"/>
      </w:tblGrid>
      <w:tr>
        <w:tc>
          <w:tcPr>
            <w:tcW w:type="dxa" w:w="9360"/>
            <w:shd w:fill="FFF7D6"/>
            <w:tcMar>
              <w:top w:w="100" w:type="dxa"/>
              <w:start w:w="140" w:type="dxa"/>
              <w:bottom w:w="100" w:type="dxa"/>
              <w:end w:w="140" w:type="dxa"/>
            </w:tcMar>
            <w:vAlign w:val="center"/>
          </w:tcPr>
          <w:p>
            <w:pPr>
              <w:spacing w:after="40"/>
            </w:pPr>
            <w:r>
              <w:rPr>
                <w:rFonts w:ascii="Calibri" w:hAnsi="Calibri"/>
                <w:b/>
                <w:i w:val="0"/>
                <w:color w:val="F5C542"/>
                <w:sz w:val="18"/>
              </w:rPr>
              <w:t xml:space="preserve">STUDENT PRODUCT  </w:t>
            </w:r>
            <w:r>
              <w:rPr>
                <w:rFonts w:ascii="Calibri" w:hAnsi="Calibri"/>
                <w:b w:val="0"/>
                <w:i w:val="0"/>
                <w:color w:val="0B2A1F"/>
                <w:sz w:val="21"/>
              </w:rPr>
              <w:t>a four-step sequence and a process-level decision with evidence.</w:t>
            </w:r>
          </w:p>
        </w:tc>
      </w:tr>
    </w:tbl>
    <w:p>
      <w:pPr>
        <w:spacing w:before="0" w:after="80" w:line="269" w:lineRule="auto"/>
      </w:pPr>
    </w:p>
    <w:p>
      <w:r>
        <w:br w:type="page"/>
      </w:r>
    </w:p>
    <w:p>
      <w:pPr>
        <w:pStyle w:val="Heading1"/>
      </w:pPr>
      <w:r>
        <w:t>Lesson 7 | From a Gene Instruction to a Cell Behavior</w:t>
      </w:r>
    </w:p>
    <w:p>
      <w:pPr>
        <w:spacing w:before="80" w:after="60"/>
        <w:jc w:val="center"/>
      </w:pPr>
      <w:r>
        <w:drawing>
          <wp:inline xmlns:a="http://schemas.openxmlformats.org/drawingml/2006/main" xmlns:pic="http://schemas.openxmlformats.org/drawingml/2006/picture">
            <wp:extent cx="4160520" cy="2341537"/>
            <wp:docPr id="7" name="Picture 7" descr="bio lesson 07 gene to protein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bio-lesson-07-gene-to-protein.pn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4160520" cy="2341537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after="160"/>
        <w:jc w:val="center"/>
      </w:pPr>
      <w:r>
        <w:rPr>
          <w:rFonts w:ascii="Calibri" w:hAnsi="Calibri"/>
          <w:b w:val="0"/>
          <w:i/>
          <w:color w:val="527267"/>
          <w:sz w:val="17"/>
        </w:rPr>
        <w:t>Visual anchor used in the matching slide deck.</w:t>
      </w:r>
    </w:p>
    <w:tbl>
      <w:tblPr>
        <w:tblW w:type="auto" w:w="0"/>
        <w:jc w:val="left"/>
        <w:tblLayout w:type="fixed"/>
        <w:tblLook w:firstColumn="1" w:firstRow="1" w:lastColumn="0" w:lastRow="0" w:noHBand="0" w:noVBand="1" w:val="04A0"/>
      </w:tblPr>
      <w:tblGrid>
        <w:gridCol w:w="9648"/>
      </w:tblGrid>
      <w:tr>
        <w:tc>
          <w:tcPr>
            <w:tcW w:type="dxa" w:w="9360"/>
            <w:shd w:fill="EAF8F0"/>
            <w:tcMar>
              <w:top w:w="100" w:type="dxa"/>
              <w:start w:w="140" w:type="dxa"/>
              <w:bottom w:w="100" w:type="dxa"/>
              <w:end w:w="140" w:type="dxa"/>
            </w:tcMar>
            <w:vAlign w:val="center"/>
          </w:tcPr>
          <w:p>
            <w:pPr>
              <w:spacing w:after="40"/>
            </w:pPr>
            <w:r>
              <w:rPr>
                <w:rFonts w:ascii="Calibri" w:hAnsi="Calibri"/>
                <w:b/>
                <w:i w:val="0"/>
                <w:color w:val="2FD27A"/>
                <w:sz w:val="18"/>
              </w:rPr>
              <w:t xml:space="preserve">LESSON GOAL  </w:t>
            </w:r>
            <w:r>
              <w:rPr>
                <w:rFonts w:ascii="Calibri" w:hAnsi="Calibri"/>
                <w:b w:val="0"/>
                <w:i w:val="0"/>
                <w:color w:val="0B2A1F"/>
                <w:sz w:val="21"/>
              </w:rPr>
              <w:t>Students connect DNA, RNA, protein, and cell behavior while keeping context and evidence limits visible.</w:t>
            </w:r>
          </w:p>
        </w:tc>
      </w:tr>
    </w:tbl>
    <w:p>
      <w:pPr>
        <w:spacing w:before="0" w:after="80" w:line="269" w:lineRule="auto"/>
      </w:pPr>
    </w:p>
    <w:p>
      <w:pPr>
        <w:pStyle w:val="Heading2"/>
      </w:pPr>
      <w:r>
        <w:t>Teacher sequence</w:t>
      </w:r>
    </w:p>
    <w:p>
      <w:pPr>
        <w:pStyle w:val="ListBullet"/>
        <w:spacing w:after="60" w:line="259" w:lineRule="auto"/>
      </w:pPr>
      <w:r>
        <w:rPr>
          <w:rFonts w:ascii="Calibri" w:hAnsi="Calibri"/>
          <w:b w:val="0"/>
          <w:i w:val="0"/>
          <w:color w:val="0B2A1F"/>
          <w:sz w:val="21"/>
        </w:rPr>
        <w:t>Slides 1-4: retrieve seam remodeling and frame genes as instructions used by cells.</w:t>
      </w:r>
    </w:p>
    <w:p>
      <w:pPr>
        <w:pStyle w:val="ListBullet"/>
        <w:spacing w:after="60" w:line="259" w:lineRule="auto"/>
      </w:pPr>
      <w:r>
        <w:rPr>
          <w:rFonts w:ascii="Calibri" w:hAnsi="Calibri"/>
          <w:b w:val="0"/>
          <w:i w:val="0"/>
          <w:color w:val="0B2A1F"/>
          <w:sz w:val="21"/>
        </w:rPr>
        <w:t>Slide 5: show the construction-manual analogy. Ask what must happen between a page and a finished tool.</w:t>
      </w:r>
    </w:p>
    <w:p>
      <w:pPr>
        <w:pStyle w:val="ListBullet"/>
        <w:spacing w:after="60" w:line="259" w:lineRule="auto"/>
      </w:pPr>
      <w:r>
        <w:rPr>
          <w:rFonts w:ascii="Calibri" w:hAnsi="Calibri"/>
          <w:b w:val="0"/>
          <w:i w:val="0"/>
          <w:color w:val="0B2A1F"/>
          <w:sz w:val="21"/>
        </w:rPr>
        <w:t>Slide 6: ask what changes when the job site, crew, or timing changes.</w:t>
      </w:r>
    </w:p>
    <w:p>
      <w:pPr>
        <w:pStyle w:val="ListBullet"/>
        <w:spacing w:after="60" w:line="259" w:lineRule="auto"/>
      </w:pPr>
      <w:r>
        <w:rPr>
          <w:rFonts w:ascii="Calibri" w:hAnsi="Calibri"/>
          <w:b w:val="0"/>
          <w:i w:val="0"/>
          <w:color w:val="0B2A1F"/>
          <w:sz w:val="21"/>
        </w:rPr>
        <w:t>Slide 7: name DNA, RNA, protein, and cell behavior in that order.</w:t>
      </w:r>
    </w:p>
    <w:p>
      <w:pPr>
        <w:pStyle w:val="ListBullet"/>
        <w:spacing w:after="60" w:line="259" w:lineRule="auto"/>
      </w:pPr>
      <w:r>
        <w:rPr>
          <w:rFonts w:ascii="Calibri" w:hAnsi="Calibri"/>
          <w:b w:val="0"/>
          <w:i w:val="0"/>
          <w:color w:val="0B2A1F"/>
          <w:sz w:val="21"/>
        </w:rPr>
        <w:t>Slide 8: show the gene-to-protein illustration and connect IRF6 to epithelial and periderm behavior.</w:t>
      </w:r>
    </w:p>
    <w:p>
      <w:pPr>
        <w:pStyle w:val="ListBullet"/>
        <w:spacing w:after="60" w:line="259" w:lineRule="auto"/>
      </w:pPr>
      <w:r>
        <w:rPr>
          <w:rFonts w:ascii="Calibri" w:hAnsi="Calibri"/>
          <w:b w:val="0"/>
          <w:i w:val="0"/>
          <w:color w:val="0B2A1F"/>
          <w:sz w:val="21"/>
        </w:rPr>
        <w:t>Slides 9-11: label each analogy step beside the molecular step, then decide what an IRF6 variant could justify testing and what it cannot prove.</w:t>
      </w:r>
    </w:p>
    <w:p>
      <w:pPr>
        <w:pStyle w:val="ListBullet"/>
        <w:spacing w:after="60" w:line="259" w:lineRule="auto"/>
      </w:pPr>
      <w:r>
        <w:rPr>
          <w:rFonts w:ascii="Calibri" w:hAnsi="Calibri"/>
          <w:b w:val="0"/>
          <w:i w:val="0"/>
          <w:color w:val="0B2A1F"/>
          <w:sz w:val="21"/>
        </w:rPr>
        <w:t>Slides 12-13: collect the final four-truth summary and point forward to comparing evidence types in the next unit.</w:t>
      </w:r>
    </w:p>
    <w:p>
      <w:pPr>
        <w:pStyle w:val="ListBullet"/>
        <w:spacing w:after="60" w:line="259" w:lineRule="auto"/>
      </w:pPr>
      <w:r>
        <w:rPr>
          <w:rFonts w:ascii="Calibri" w:hAnsi="Calibri"/>
          <w:b w:val="0"/>
          <w:i w:val="0"/>
          <w:color w:val="0B2A1F"/>
          <w:sz w:val="21"/>
        </w:rPr>
        <w:t>Teacher reason: The gene story stays inside development. Students leave with mechanism and uncertainty, not gene-as-destiny thinking.</w:t>
      </w:r>
    </w:p>
    <w:tbl>
      <w:tblPr>
        <w:tblW w:type="auto" w:w="0"/>
        <w:jc w:val="left"/>
        <w:tblLayout w:type="fixed"/>
        <w:tblLook w:firstColumn="1" w:firstRow="1" w:lastColumn="0" w:lastRow="0" w:noHBand="0" w:noVBand="1" w:val="04A0"/>
      </w:tblPr>
      <w:tblGrid>
        <w:gridCol w:w="9648"/>
      </w:tblGrid>
      <w:tr>
        <w:tc>
          <w:tcPr>
            <w:tcW w:type="dxa" w:w="9360"/>
            <w:shd w:fill="FFF7D6"/>
            <w:tcMar>
              <w:top w:w="100" w:type="dxa"/>
              <w:start w:w="140" w:type="dxa"/>
              <w:bottom w:w="100" w:type="dxa"/>
              <w:end w:w="140" w:type="dxa"/>
            </w:tcMar>
            <w:vAlign w:val="center"/>
          </w:tcPr>
          <w:p>
            <w:pPr>
              <w:spacing w:after="40"/>
            </w:pPr>
            <w:r>
              <w:rPr>
                <w:rFonts w:ascii="Calibri" w:hAnsi="Calibri"/>
                <w:b/>
                <w:i w:val="0"/>
                <w:color w:val="F5C542"/>
                <w:sz w:val="18"/>
              </w:rPr>
              <w:t xml:space="preserve">STUDENT PRODUCT  </w:t>
            </w:r>
            <w:r>
              <w:rPr>
                <w:rFonts w:ascii="Calibri" w:hAnsi="Calibri"/>
                <w:b w:val="0"/>
                <w:i w:val="0"/>
                <w:color w:val="0B2A1F"/>
                <w:sz w:val="21"/>
              </w:rPr>
              <w:t>a complete DNA to cell-behavior chain, one context factor, and one evidence limitation.</w:t>
            </w:r>
          </w:p>
        </w:tc>
      </w:tr>
    </w:tbl>
    <w:p>
      <w:pPr>
        <w:spacing w:before="0" w:after="80" w:line="269" w:lineRule="auto"/>
      </w:pPr>
    </w:p>
    <w:p>
      <w:pPr>
        <w:pStyle w:val="Heading1"/>
      </w:pPr>
      <w:r>
        <w:t>Sources for enrichment</w:t>
      </w:r>
    </w:p>
    <w:p>
      <w:pPr>
        <w:spacing w:before="0" w:after="120" w:line="269" w:lineRule="auto"/>
      </w:pPr>
      <w:r>
        <w:rPr>
          <w:rFonts w:ascii="Calibri" w:hAnsi="Calibri"/>
          <w:b w:val="0"/>
          <w:i/>
          <w:color w:val="527267"/>
          <w:sz w:val="20"/>
        </w:rPr>
        <w:t>The seven lessons are self-contained. These links are for optional teacher or student follow-up, not required homework.</w:t>
      </w:r>
    </w:p>
    <w:p>
      <w:pPr>
        <w:pStyle w:val="ListBullet"/>
        <w:spacing w:after="60" w:line="259" w:lineRule="auto"/>
      </w:pPr>
      <w:r>
        <w:rPr>
          <w:rFonts w:ascii="Calibri" w:hAnsi="Calibri"/>
          <w:b w:val="0"/>
          <w:i w:val="0"/>
          <w:color w:val="0B2A1F"/>
          <w:sz w:val="21"/>
        </w:rPr>
        <w:t>National Institute of Dental and Craniofacial Research, Cleft Lip and Palate: https://www.nidcr.nih.gov/health-info/cleft-lip-palate</w:t>
      </w:r>
    </w:p>
    <w:p>
      <w:pPr>
        <w:pStyle w:val="ListBullet"/>
        <w:spacing w:after="60" w:line="259" w:lineRule="auto"/>
      </w:pPr>
      <w:r>
        <w:rPr>
          <w:rFonts w:ascii="Calibri" w:hAnsi="Calibri"/>
          <w:b w:val="0"/>
          <w:i w:val="0"/>
          <w:color w:val="0B2A1F"/>
          <w:sz w:val="21"/>
        </w:rPr>
        <w:t>Craniofacial development review, PubMed Central: https://pmc.ncbi.nlm.nih.gov/articles/PMC3039913/</w:t>
      </w:r>
    </w:p>
    <w:p>
      <w:pPr>
        <w:pStyle w:val="ListBullet"/>
        <w:spacing w:after="60" w:line="259" w:lineRule="auto"/>
      </w:pPr>
      <w:r>
        <w:rPr>
          <w:rFonts w:ascii="Calibri" w:hAnsi="Calibri"/>
          <w:b w:val="0"/>
          <w:i w:val="0"/>
          <w:color w:val="0B2A1F"/>
          <w:sz w:val="21"/>
        </w:rPr>
        <w:t>Cranial neural crest and facial development review, PubMed Central: https://pmc.ncbi.nlm.nih.gov/articles/PMC11072871/</w:t>
      </w:r>
    </w:p>
    <w:p>
      <w:pPr>
        <w:pStyle w:val="ListBullet"/>
        <w:spacing w:after="60" w:line="259" w:lineRule="auto"/>
      </w:pPr>
      <w:r>
        <w:rPr>
          <w:rFonts w:ascii="Calibri" w:hAnsi="Calibri"/>
          <w:b w:val="0"/>
          <w:i w:val="0"/>
          <w:color w:val="0B2A1F"/>
          <w:sz w:val="21"/>
        </w:rPr>
        <w:t>IRF6 and epithelial seam biology, PubMed Central: https://pmc.ncbi.nlm.nih.gov/articles/PMC2659566/</w:t>
      </w:r>
    </w:p>
    <w:p>
      <w:pPr>
        <w:pStyle w:val="ListBullet"/>
        <w:spacing w:after="60" w:line="259" w:lineRule="auto"/>
      </w:pPr>
      <w:r>
        <w:rPr>
          <w:rFonts w:ascii="Calibri" w:hAnsi="Calibri"/>
          <w:b w:val="0"/>
          <w:i w:val="0"/>
          <w:color w:val="0B2A1F"/>
          <w:sz w:val="21"/>
        </w:rPr>
        <w:t>Palatal fusion and seam remodeling review, PubMed Central: https://pmc.ncbi.nlm.nih.gov/articles/PMC3552505/</w:t>
      </w:r>
    </w:p>
    <w:sectPr w:rsidR="00FC693F" w:rsidRPr="0006063C" w:rsidSect="00034616">
      <w:headerReference w:type="default" r:id="rId9"/>
      <w:footerReference w:type="default" r:id="rId10"/>
      <w:pgSz w:w="12240" w:h="15840"/>
      <w:pgMar w:top="1080" w:right="1296" w:bottom="1080" w:left="1296" w:header="504" w:footer="504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ＭＳ ゴシック">
    <w:panose1 w:val="00000000000000000000"/>
    <w:charset w:val="80"/>
    <w:family w:val="modern"/>
    <w:notTrueType/>
    <w:pitch w:val="fixed"/>
    <w:sig w:usb0="00000001" w:usb1="08070000" w:usb2="00000010" w:usb3="00000000" w:csb0="00020000" w:csb1="00000000"/>
  </w:font>
  <w:font w:name="Courier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</w:fonts>
</file>

<file path=word/footer1.xml><?xml version="1.0" encoding="utf-8"?>
<w:ftr xmlns:m="http://schemas.openxmlformats.org/officeDocument/2006/math" xmlns:mc="http://schemas.openxmlformats.org/markup-compatibility/2006" xmlns:mo="http://schemas.microsoft.com/office/mac/office/2008/main" xmlns:mv="urn:schemas-microsoft-com:mac:vml" xmlns:o="urn:schemas-microsoft-com:office:office" xmlns:r="http://schemas.openxmlformats.org/officeDocument/2006/relationships" xmlns:v="urn:schemas-microsoft-com:vml" xmlns:w10="urn:schemas-microsoft-com:office:word" xmlns:w14="http://schemas.microsoft.com/office/word/2010/wordml" xmlns:w="http://schemas.openxmlformats.org/wordprocessingml/2006/main" xmlns:wne="http://schemas.microsoft.com/office/word/2006/wordml" xmlns:wp14="http://schemas.microsoft.com/office/word/2010/wordprocessingDrawing" xmlns:wp="http://schemas.openxmlformats.org/drawingml/2006/wordprocessingDrawing" xmlns:wpc="http://schemas.microsoft.com/office/word/2010/wordprocessingCanvas" xmlns:wpg="http://schemas.microsoft.com/office/word/2010/wordprocessingGroup" xmlns:wpi="http://schemas.microsoft.com/office/word/2010/wordprocessingInk" xmlns:wps="http://schemas.microsoft.com/office/word/2010/wordprocessingShape" mc:Ignorable="w14 wp14">
  <w:p>
    <w:pPr>
      <w:pStyle w:val="Footer"/>
      <w:jc w:val="center"/>
    </w:pPr>
    <w:r>
      <w:rPr>
        <w:rFonts w:ascii="Calibri" w:hAnsi="Calibri"/>
        <w:b w:val="0"/>
        <w:i w:val="0"/>
        <w:color w:val="527267"/>
        <w:sz w:val="16"/>
      </w:rPr>
      <w:t>John Hay Biomedical  |  Student support material  |  Composite and educational</w:t>
    </w:r>
  </w:p>
</w:ftr>
</file>

<file path=word/header1.xml><?xml version="1.0" encoding="utf-8"?>
<w:hdr xmlns:m="http://schemas.openxmlformats.org/officeDocument/2006/math" xmlns:mc="http://schemas.openxmlformats.org/markup-compatibility/2006" xmlns:mo="http://schemas.microsoft.com/office/mac/office/2008/main" xmlns:mv="urn:schemas-microsoft-com:mac:vml" xmlns:o="urn:schemas-microsoft-com:office:office" xmlns:r="http://schemas.openxmlformats.org/officeDocument/2006/relationships" xmlns:v="urn:schemas-microsoft-com:vml" xmlns:w10="urn:schemas-microsoft-com:office:word" xmlns:w14="http://schemas.microsoft.com/office/word/2010/wordml" xmlns:w="http://schemas.openxmlformats.org/wordprocessingml/2006/main" xmlns:wne="http://schemas.microsoft.com/office/word/2006/wordml" xmlns:wp14="http://schemas.microsoft.com/office/word/2010/wordprocessingDrawing" xmlns:wp="http://schemas.openxmlformats.org/drawingml/2006/wordprocessingDrawing" xmlns:wpc="http://schemas.microsoft.com/office/word/2010/wordprocessingCanvas" xmlns:wpg="http://schemas.microsoft.com/office/word/2010/wordprocessingGroup" xmlns:wpi="http://schemas.microsoft.com/office/word/2010/wordprocessingInk" xmlns:wps="http://schemas.microsoft.com/office/word/2010/wordprocessingShape" mc:Ignorable="w14 wp14">
  <w:p>
    <w:pPr>
      <w:pStyle w:val="Header"/>
      <w:jc w:val="right"/>
    </w:pPr>
    <w:r>
      <w:rPr>
        <w:rFonts w:ascii="Calibri" w:hAnsi="Calibri"/>
        <w:b/>
        <w:i w:val="0"/>
        <w:color w:val="527267"/>
        <w:sz w:val="17"/>
      </w:rPr>
      <w:t>CRANIOFACIAL RESEARCH TRACK  |  LESSON PLAN GUIDE</w:t>
    </w:r>
  </w:p>
</w:hdr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7C"/>
    <w:multiLevelType w:val="singleLevel"/>
    <w:tmpl w:val="C310EC42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>
    <w:nsid w:val="FFFFFF7D"/>
    <w:multiLevelType w:val="singleLevel"/>
    <w:tmpl w:val="E4089024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>
    <w:nsid w:val="FFFFFF7E"/>
    <w:multiLevelType w:val="singleLevel"/>
    <w:tmpl w:val="FB12693A"/>
    <w:lvl w:ilvl="0">
      <w:start w:val="1"/>
      <w:numFmt w:val="decimal"/>
      <w:pStyle w:val="ListNumber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>
    <w:nsid w:val="FFFFFF7F"/>
    <w:multiLevelType w:val="singleLevel"/>
    <w:tmpl w:val="38441652"/>
    <w:lvl w:ilvl="0">
      <w:start w:val="1"/>
      <w:numFmt w:val="decimal"/>
      <w:pStyle w:val="ListNumber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>
    <w:nsid w:val="FFFFFF81"/>
    <w:multiLevelType w:val="singleLevel"/>
    <w:tmpl w:val="171AC3A4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5">
    <w:nsid w:val="FFFFFF82"/>
    <w:multiLevelType w:val="singleLevel"/>
    <w:tmpl w:val="F3EAFDEC"/>
    <w:lvl w:ilvl="0">
      <w:start w:val="1"/>
      <w:numFmt w:val="bullet"/>
      <w:pStyle w:val="ListBullet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6">
    <w:nsid w:val="FFFFFF83"/>
    <w:multiLevelType w:val="singleLevel"/>
    <w:tmpl w:val="3D1EFFD4"/>
    <w:lvl w:ilvl="0">
      <w:start w:val="1"/>
      <w:numFmt w:val="bullet"/>
      <w:pStyle w:val="ListBullet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7">
    <w:nsid w:val="FFFFFF88"/>
    <w:multiLevelType w:val="singleLevel"/>
    <w:tmpl w:val="D0A62B40"/>
    <w:lvl w:ilvl="0">
      <w:start w:val="1"/>
      <w:numFmt w:val="decimal"/>
      <w:pStyle w:val="ListNumb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8">
    <w:nsid w:val="FFFFFF89"/>
    <w:multiLevelType w:val="singleLevel"/>
    <w:tmpl w:val="29761A62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num w:numId="1">
    <w:abstractNumId w:val="8"/>
  </w:num>
  <w:num w:numId="2">
    <w:abstractNumId w:val="6"/>
  </w:num>
  <w:num w:numId="3">
    <w:abstractNumId w:val="5"/>
  </w:num>
  <w:num w:numId="4">
    <w:abstractNumId w:val="4"/>
  </w:num>
  <w:num w:numId="5">
    <w:abstractNumId w:val="7"/>
  </w:num>
  <w:num w:numId="6">
    <w:abstractNumId w:val="3"/>
  </w:num>
  <w:num w:numId="7">
    <w:abstractNumId w:val="2"/>
  </w:num>
  <w:num w:numId="8">
    <w:abstractNumId w:val="1"/>
  </w:num>
  <w:num w:numId="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bestFit"/>
  <w:proofState w:spelling="clean" w:grammar="clean"/>
  <w:defaultTabStop w:val="72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47730"/>
    <w:rsid w:val="00034616"/>
    <w:rsid w:val="0006063C"/>
    <w:rsid w:val="0015074B"/>
    <w:rsid w:val="0029639D"/>
    <w:rsid w:val="00326F90"/>
    <w:rsid w:val="00AA1D8D"/>
    <w:rsid w:val="00B47730"/>
    <w:rsid w:val="00CB0664"/>
    <w:rsid w:val="00FC69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."/>
  <w:listSeparator w:val=","/>
  <w14:docId w14:val="24062061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C693F"/>
    <w:pPr>
      <w:spacing w:after="120" w:line="269" w:lineRule="auto"/>
    </w:pPr>
    <w:rPr>
      <w:rFonts w:ascii="Calibri" w:hAnsi="Calibri"/>
      <w:color w:val="0B2A1F"/>
      <w:sz w:val="21"/>
    </w:rPr>
  </w:style>
  <w:style w:type="paragraph" w:styleId="Header">
    <w:name w:val="header"/>
    <w:basedOn w:val="Normal"/>
    <w:link w:val="HeaderChar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618BF"/>
  </w:style>
  <w:style w:type="paragraph" w:styleId="Footer">
    <w:name w:val="footer"/>
    <w:basedOn w:val="Normal"/>
    <w:link w:val="FooterChar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618BF"/>
  </w:style>
  <w:style w:type="paragraph" w:styleId="Heading1">
    <w:name w:val="heading 1"/>
    <w:basedOn w:val="Normal"/>
    <w:next w:val="Normal"/>
    <w:link w:val="Heading1Char"/>
    <w:uiPriority w:val="9"/>
    <w:qFormat/>
    <w:rsid w:val="00FC693F"/>
    <w:pPr>
      <w:keepNext/>
      <w:keepLines/>
      <w:spacing w:before="280" w:after="120"/>
      <w:outlineLvl w:val="0"/>
    </w:pPr>
    <w:rPr>
      <w:rFonts w:asciiTheme="majorHAnsi" w:eastAsiaTheme="majorEastAsia" w:hAnsiTheme="majorHAnsi" w:cstheme="majorBidi" w:ascii="Calibri" w:hAnsi="Calibri"/>
      <w:b/>
      <w:bCs/>
      <w:color w:val="2FD27A"/>
      <w:sz w:val="34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FC693F"/>
    <w:pPr>
      <w:keepNext/>
      <w:keepLines/>
      <w:spacing w:before="200" w:after="80"/>
      <w:outlineLvl w:val="1"/>
    </w:pPr>
    <w:rPr>
      <w:rFonts w:asciiTheme="majorHAnsi" w:eastAsiaTheme="majorEastAsia" w:hAnsiTheme="majorHAnsi" w:cstheme="majorBidi" w:ascii="Calibri" w:hAnsi="Calibri"/>
      <w:b/>
      <w:bCs/>
      <w:color w:val="1F4D78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FC693F"/>
    <w:pPr>
      <w:keepNext/>
      <w:keepLines/>
      <w:spacing w:before="160" w:after="60"/>
      <w:outlineLvl w:val="2"/>
    </w:pPr>
    <w:rPr>
      <w:rFonts w:asciiTheme="majorHAnsi" w:eastAsiaTheme="majorEastAsia" w:hAnsiTheme="majorHAnsi" w:cstheme="majorBidi" w:ascii="Calibri" w:hAnsi="Calibri"/>
      <w:b/>
      <w:bCs/>
      <w:color w:val="527267"/>
      <w:sz w:val="23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C693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C693F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C693F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FC693F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FC693F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C693F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FC693F"/>
    <w:pPr>
      <w:spacing w:after="0" w:line="240" w:lineRule="auto"/>
    </w:pPr>
  </w:style>
  <w:style w:type="character" w:customStyle="1" w:styleId="Heading1Char">
    <w:name w:val="Heading 1 Char"/>
    <w:basedOn w:val="DefaultParagraphFont"/>
    <w:link w:val="Heading1"/>
    <w:uiPriority w:val="9"/>
    <w:rsid w:val="00FC693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itle">
    <w:name w:val="Title"/>
    <w:basedOn w:val="Normal"/>
    <w:next w:val="Normal"/>
    <w:link w:val="TitleChar"/>
    <w:uiPriority w:val="10"/>
    <w:qFormat/>
    <w:rsid w:val="00FC693F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FC693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FC693F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FC693F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ListParagraph">
    <w:name w:val="List Paragraph"/>
    <w:basedOn w:val="Normal"/>
    <w:uiPriority w:val="34"/>
    <w:qFormat/>
    <w:rsid w:val="00FC693F"/>
    <w:pPr>
      <w:ind w:left="720"/>
      <w:contextualSpacing/>
    </w:pPr>
  </w:style>
  <w:style w:type="paragraph" w:styleId="BodyText">
    <w:name w:val="Body Text"/>
    <w:basedOn w:val="Normal"/>
    <w:link w:val="BodyTextChar"/>
    <w:uiPriority w:val="99"/>
    <w:unhideWhenUsed/>
    <w:rsid w:val="00AA1D8D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rsid w:val="00AA1D8D"/>
  </w:style>
  <w:style w:type="paragraph" w:styleId="BodyText2">
    <w:name w:val="Body Text 2"/>
    <w:basedOn w:val="Normal"/>
    <w:link w:val="BodyText2Char"/>
    <w:uiPriority w:val="99"/>
    <w:unhideWhenUsed/>
    <w:rsid w:val="00AA1D8D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rsid w:val="00AA1D8D"/>
  </w:style>
  <w:style w:type="paragraph" w:styleId="BodyText3">
    <w:name w:val="Body Text 3"/>
    <w:basedOn w:val="Normal"/>
    <w:link w:val="BodyText3Char"/>
    <w:uiPriority w:val="99"/>
    <w:unhideWhenUsed/>
    <w:rsid w:val="00AA1D8D"/>
    <w:pPr>
      <w:spacing w:after="120"/>
    </w:pPr>
    <w:rPr>
      <w:sz w:val="16"/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rsid w:val="00AA1D8D"/>
    <w:rPr>
      <w:sz w:val="16"/>
      <w:szCs w:val="16"/>
    </w:rPr>
  </w:style>
  <w:style w:type="paragraph" w:styleId="List">
    <w:name w:val="List"/>
    <w:basedOn w:val="Normal"/>
    <w:uiPriority w:val="99"/>
    <w:unhideWhenUsed/>
    <w:rsid w:val="00AA1D8D"/>
    <w:pPr>
      <w:ind w:left="360" w:hanging="360"/>
      <w:contextualSpacing/>
    </w:pPr>
  </w:style>
  <w:style w:type="paragraph" w:styleId="List2">
    <w:name w:val="List 2"/>
    <w:basedOn w:val="Normal"/>
    <w:uiPriority w:val="99"/>
    <w:unhideWhenUsed/>
    <w:rsid w:val="00326F90"/>
    <w:pPr>
      <w:ind w:left="720" w:hanging="360"/>
      <w:contextualSpacing/>
    </w:pPr>
  </w:style>
  <w:style w:type="paragraph" w:styleId="List3">
    <w:name w:val="List 3"/>
    <w:basedOn w:val="Normal"/>
    <w:uiPriority w:val="99"/>
    <w:unhideWhenUsed/>
    <w:rsid w:val="00326F90"/>
    <w:pPr>
      <w:ind w:left="1080" w:hanging="360"/>
      <w:contextualSpacing/>
    </w:pPr>
  </w:style>
  <w:style w:type="paragraph" w:styleId="ListBullet">
    <w:name w:val="List Bullet"/>
    <w:basedOn w:val="Normal"/>
    <w:uiPriority w:val="99"/>
    <w:unhideWhenUsed/>
    <w:rsid w:val="00326F90"/>
    <w:pPr>
      <w:numPr>
        <w:numId w:val="1"/>
      </w:numPr>
      <w:contextualSpacing/>
    </w:pPr>
  </w:style>
  <w:style w:type="paragraph" w:styleId="ListBullet2">
    <w:name w:val="List Bullet 2"/>
    <w:basedOn w:val="Normal"/>
    <w:uiPriority w:val="99"/>
    <w:unhideWhenUsed/>
    <w:rsid w:val="00326F90"/>
    <w:pPr>
      <w:numPr>
        <w:numId w:val="2"/>
      </w:numPr>
      <w:contextualSpacing/>
    </w:pPr>
  </w:style>
  <w:style w:type="paragraph" w:styleId="ListBullet3">
    <w:name w:val="List Bullet 3"/>
    <w:basedOn w:val="Normal"/>
    <w:uiPriority w:val="99"/>
    <w:unhideWhenUsed/>
    <w:rsid w:val="00326F90"/>
    <w:pPr>
      <w:numPr>
        <w:numId w:val="3"/>
      </w:numPr>
      <w:contextualSpacing/>
    </w:pPr>
  </w:style>
  <w:style w:type="paragraph" w:styleId="ListNumber">
    <w:name w:val="List Number"/>
    <w:basedOn w:val="Normal"/>
    <w:uiPriority w:val="99"/>
    <w:unhideWhenUsed/>
    <w:rsid w:val="00326F90"/>
    <w:pPr>
      <w:numPr>
        <w:numId w:val="5"/>
      </w:numPr>
      <w:contextualSpacing/>
    </w:pPr>
  </w:style>
  <w:style w:type="paragraph" w:styleId="ListNumber2">
    <w:name w:val="List Number 2"/>
    <w:basedOn w:val="Normal"/>
    <w:uiPriority w:val="99"/>
    <w:unhideWhenUsed/>
    <w:rsid w:val="0029639D"/>
    <w:pPr>
      <w:numPr>
        <w:numId w:val="6"/>
      </w:numPr>
      <w:contextualSpacing/>
    </w:pPr>
  </w:style>
  <w:style w:type="paragraph" w:styleId="ListNumber3">
    <w:name w:val="List Number 3"/>
    <w:basedOn w:val="Normal"/>
    <w:uiPriority w:val="99"/>
    <w:unhideWhenUsed/>
    <w:rsid w:val="0029639D"/>
    <w:pPr>
      <w:numPr>
        <w:numId w:val="7"/>
      </w:numPr>
      <w:contextualSpacing/>
    </w:pPr>
  </w:style>
  <w:style w:type="paragraph" w:styleId="ListContinue">
    <w:name w:val="List Continue"/>
    <w:basedOn w:val="Normal"/>
    <w:uiPriority w:val="99"/>
    <w:unhideWhenUsed/>
    <w:rsid w:val="0029639D"/>
    <w:pPr>
      <w:spacing w:after="120"/>
      <w:ind w:left="360"/>
      <w:contextualSpacing/>
    </w:pPr>
  </w:style>
  <w:style w:type="paragraph" w:styleId="ListContinue2">
    <w:name w:val="List Continue 2"/>
    <w:basedOn w:val="Normal"/>
    <w:uiPriority w:val="99"/>
    <w:unhideWhenUsed/>
    <w:rsid w:val="0029639D"/>
    <w:pPr>
      <w:spacing w:after="120"/>
      <w:ind w:left="720"/>
      <w:contextualSpacing/>
    </w:pPr>
  </w:style>
  <w:style w:type="paragraph" w:styleId="ListContinue3">
    <w:name w:val="List Continue 3"/>
    <w:basedOn w:val="Normal"/>
    <w:uiPriority w:val="99"/>
    <w:unhideWhenUsed/>
    <w:rsid w:val="0029639D"/>
    <w:pPr>
      <w:spacing w:after="120"/>
      <w:ind w:left="1080"/>
      <w:contextualSpacing/>
    </w:pPr>
  </w:style>
  <w:style w:type="paragraph" w:styleId="MacroText">
    <w:name w:val="macro"/>
    <w:link w:val="MacroTextChar"/>
    <w:uiPriority w:val="99"/>
    <w:unhideWhenUsed/>
    <w:rsid w:val="0029639D"/>
    <w:pPr>
      <w:tabs>
        <w:tab w:val="left" w:pos="576"/>
        <w:tab w:val="left" w:pos="1152"/>
        <w:tab w:val="left" w:pos="1728"/>
        <w:tab w:val="left" w:pos="2304"/>
        <w:tab w:val="left" w:pos="2880"/>
        <w:tab w:val="left" w:pos="3456"/>
        <w:tab w:val="left" w:pos="4032"/>
      </w:tabs>
    </w:pPr>
    <w:rPr>
      <w:rFonts w:ascii="Courier" w:hAnsi="Courier"/>
      <w:sz w:val="20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rsid w:val="0029639D"/>
    <w:rPr>
      <w:rFonts w:ascii="Courier" w:hAnsi="Courier"/>
      <w:sz w:val="20"/>
      <w:szCs w:val="20"/>
    </w:rPr>
  </w:style>
  <w:style w:type="paragraph" w:styleId="Quote">
    <w:name w:val="Quote"/>
    <w:basedOn w:val="Normal"/>
    <w:next w:val="Normal"/>
    <w:link w:val="QuoteChar"/>
    <w:uiPriority w:val="29"/>
    <w:qFormat/>
    <w:rsid w:val="00FC693F"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rsid w:val="00FC693F"/>
    <w:rPr>
      <w:i/>
      <w:iCs/>
      <w:color w:val="000000" w:themeColor="text1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C693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C693F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C693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C693F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FC693F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Strong">
    <w:name w:val="Strong"/>
    <w:basedOn w:val="DefaultParagraphFont"/>
    <w:uiPriority w:val="22"/>
    <w:qFormat/>
    <w:rsid w:val="00FC693F"/>
    <w:rPr>
      <w:b/>
      <w:bCs/>
    </w:rPr>
  </w:style>
  <w:style w:type="character" w:styleId="Emphasis">
    <w:name w:val="Emphasis"/>
    <w:basedOn w:val="DefaultParagraphFont"/>
    <w:uiPriority w:val="20"/>
    <w:qFormat/>
    <w:rsid w:val="00FC693F"/>
    <w:rPr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FC693F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C693F"/>
    <w:rPr>
      <w:b/>
      <w:bCs/>
      <w:i/>
      <w:iCs/>
      <w:color w:val="4F81BD" w:themeColor="accent1"/>
    </w:rPr>
  </w:style>
  <w:style w:type="character" w:styleId="SubtleEmphasis">
    <w:name w:val="Subtle Emphasis"/>
    <w:basedOn w:val="DefaultParagraphFont"/>
    <w:uiPriority w:val="19"/>
    <w:qFormat/>
    <w:rsid w:val="00FC693F"/>
    <w:rPr>
      <w:i/>
      <w:iCs/>
      <w:color w:val="808080" w:themeColor="text1" w:themeTint="7F"/>
    </w:rPr>
  </w:style>
  <w:style w:type="character" w:styleId="IntenseEmphasis">
    <w:name w:val="Intense Emphasis"/>
    <w:basedOn w:val="DefaultParagraphFont"/>
    <w:uiPriority w:val="21"/>
    <w:qFormat/>
    <w:rsid w:val="00FC693F"/>
    <w:rPr>
      <w:b/>
      <w:bCs/>
      <w:i/>
      <w:iCs/>
      <w:color w:val="4F81BD" w:themeColor="accent1"/>
    </w:rPr>
  </w:style>
  <w:style w:type="character" w:styleId="SubtleReference">
    <w:name w:val="Subtle Reference"/>
    <w:basedOn w:val="DefaultParagraphFont"/>
    <w:uiPriority w:val="31"/>
    <w:qFormat/>
    <w:rsid w:val="00FC693F"/>
    <w:rPr>
      <w:smallCaps/>
      <w:color w:val="C0504D" w:themeColor="accent2"/>
      <w:u w:val="single"/>
    </w:rPr>
  </w:style>
  <w:style w:type="character" w:styleId="IntenseReference">
    <w:name w:val="Intense Reference"/>
    <w:basedOn w:val="DefaultParagraphFont"/>
    <w:uiPriority w:val="32"/>
    <w:qFormat/>
    <w:rsid w:val="00FC693F"/>
    <w:rPr>
      <w:b/>
      <w:bCs/>
      <w:smallCaps/>
      <w:color w:val="C0504D" w:themeColor="accent2"/>
      <w:spacing w:val="5"/>
      <w:u w:val="single"/>
    </w:rPr>
  </w:style>
  <w:style w:type="character" w:styleId="BookTitle">
    <w:name w:val="Book Title"/>
    <w:basedOn w:val="DefaultParagraphFont"/>
    <w:uiPriority w:val="33"/>
    <w:qFormat/>
    <w:rsid w:val="00FC693F"/>
    <w:rPr>
      <w:b/>
      <w:bCs/>
      <w:smallCaps/>
      <w:spacing w:val="5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FC693F"/>
    <w:pPr>
      <w:outlineLvl w:val="9"/>
    </w:pPr>
  </w:style>
  <w:style w:type="table" w:styleId="TableGrid">
    <w:name w:val="Table Grid"/>
    <w:basedOn w:val="TableNormal"/>
    <w:uiPriority w:val="59"/>
    <w:rsid w:val="00FC693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LightShading">
    <w:name w:val="Light Shading"/>
    <w:basedOn w:val="TableNormal"/>
    <w:uiPriority w:val="60"/>
    <w:rsid w:val="00FC693F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60"/>
    <w:rsid w:val="00FC693F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LightShading-Accent2">
    <w:name w:val="Light Shading Accent 2"/>
    <w:basedOn w:val="TableNormal"/>
    <w:uiPriority w:val="60"/>
    <w:rsid w:val="00FC693F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LightShading-Accent3">
    <w:name w:val="Light Shading Accent 3"/>
    <w:basedOn w:val="TableNormal"/>
    <w:uiPriority w:val="60"/>
    <w:rsid w:val="00FC693F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LightShading-Accent4">
    <w:name w:val="Light Shading Accent 4"/>
    <w:basedOn w:val="TableNormal"/>
    <w:uiPriority w:val="60"/>
    <w:rsid w:val="00FC693F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LightShading-Accent5">
    <w:name w:val="Light Shading Accent 5"/>
    <w:basedOn w:val="TableNormal"/>
    <w:uiPriority w:val="60"/>
    <w:rsid w:val="00FC693F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LightShading-Accent6">
    <w:name w:val="Light Shading Accent 6"/>
    <w:basedOn w:val="TableNormal"/>
    <w:uiPriority w:val="60"/>
    <w:rsid w:val="00FC693F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LightList">
    <w:name w:val="Light List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ghtList-Accent1">
    <w:name w:val="Light List Accent 1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LightList-Accent2">
    <w:name w:val="Light List Accent 2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LightList-Accent3">
    <w:name w:val="Light List Accent 3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LightList-Accent4">
    <w:name w:val="Light List Accent 4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styleId="LightList-Accent5">
    <w:name w:val="Light List Accent 5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LightList-Accent6">
    <w:name w:val="Light List Accent 6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LightGrid">
    <w:name w:val="Light Grid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Grid-Accent1">
    <w:name w:val="Light Grid Accent 1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Grid-Accent2">
    <w:name w:val="Light Grid Accent 2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LightGrid-Accent3">
    <w:name w:val="Light Grid Accent 3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LightGrid-Accent4">
    <w:name w:val="Light Grid Accent 4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LightGrid-Accent5">
    <w:name w:val="Light Grid Accent 5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styleId="LightGrid-Accent6">
    <w:name w:val="Light Grid Accent 6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styleId="MediumShading1">
    <w:name w:val="Medium Shading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List1">
    <w:name w:val="Medium Lis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1-Accent1">
    <w:name w:val="Medium List 1 Accen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MediumList1-Accent2">
    <w:name w:val="Medium List 1 Accent 2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0504D" w:themeColor="accent2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shd w:val="clear" w:color="auto" w:fill="EFD3D2" w:themeFill="accent2" w:themeFillTint="3F"/>
      </w:tcPr>
    </w:tblStylePr>
  </w:style>
  <w:style w:type="table" w:styleId="MediumList1-Accent3">
    <w:name w:val="Medium List 1 Accent 3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BBB59" w:themeColor="accent3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MediumList1-Accent4">
    <w:name w:val="Medium List 1 Accent 4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064A2" w:themeColor="accent4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table" w:styleId="MediumList1-Accent5">
    <w:name w:val="Medium List 1 Accent 5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MediumList1-Accent6">
    <w:name w:val="Medium List 1 Accent 6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9646" w:themeColor="accent6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shd w:val="clear" w:color="auto" w:fill="FDE4D0" w:themeFill="accent6" w:themeFillTint="3F"/>
      </w:tcPr>
    </w:tblStylePr>
  </w:style>
  <w:style w:type="table" w:styleId="MediumList2">
    <w:name w:val="Medium Lis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C0504D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0504D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064A2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64A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79646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646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79646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4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Grid1">
    <w:name w:val="Medium Grid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rid1-Accent1">
    <w:name w:val="Medium Grid 1 Accent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MediumGrid1-Accent2">
    <w:name w:val="Medium Grid 1 Accent 2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  <w:insideV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MediumGrid1-Accent3">
    <w:name w:val="Medium Grid 1 Accent 3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MediumGrid1-Accent4">
    <w:name w:val="Medium Grid 1 Accent 4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MediumGrid1-Accent5">
    <w:name w:val="Medium Grid 1 Accent 5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MediumGrid1-Accent6">
    <w:name w:val="Medium Grid 1 Accent 6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  <w:insideV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MediumGrid2">
    <w:name w:val="Medium Grid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4F81BD" w:themeColor="accent1"/>
          <w:insideV w:val="single" w:sz="6" w:space="0" w:color="4F81BD" w:themeColor="accent1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 w:color="C0504D" w:themeColor="accent2"/>
          <w:insideV w:val="single" w:sz="6" w:space="0" w:color="C0504D" w:themeColor="accent2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2EFF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 w:color="8064A2" w:themeColor="accent4"/>
          <w:insideV w:val="single" w:sz="6" w:space="0" w:color="8064A2" w:themeColor="accent4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 w:color="4BACC6" w:themeColor="accent5"/>
          <w:insideV w:val="single" w:sz="6" w:space="0" w:color="4BACC6" w:themeColor="accent5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 w:color="F79646" w:themeColor="accent6"/>
          <w:insideV w:val="single" w:sz="6" w:space="0" w:color="F79646" w:themeColor="accent6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3">
    <w:name w:val="Medium Grid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rid3-Accent1">
    <w:name w:val="Medium Grid 3 Accent 1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styleId="MediumGrid3-Accent2">
    <w:name w:val="Medium Grid 3 Accent 2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A7A6" w:themeFill="accent2" w:themeFillTint="7F"/>
      </w:tcPr>
    </w:tblStylePr>
  </w:style>
  <w:style w:type="table" w:styleId="MediumGrid3-Accent3">
    <w:name w:val="Medium Grid 3 Accent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DDAC" w:themeFill="accent3" w:themeFillTint="7F"/>
      </w:tcPr>
    </w:tblStylePr>
  </w:style>
  <w:style w:type="table" w:styleId="MediumGrid3-Accent4">
    <w:name w:val="Medium Grid 3 Accent 4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FB1D0" w:themeFill="accent4" w:themeFillTint="7F"/>
      </w:tcPr>
    </w:tblStylePr>
  </w:style>
  <w:style w:type="table" w:styleId="MediumGrid3-Accent5">
    <w:name w:val="Medium Grid 3 Accent 5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table" w:styleId="MediumGrid3-Accent6">
    <w:name w:val="Medium Grid 3 Accent 6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DarkList">
    <w:name w:val="Dark List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arkList-Accent1">
    <w:name w:val="Dark List Accent 1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43F6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65F91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</w:style>
  <w:style w:type="table" w:styleId="DarkList-Accent2">
    <w:name w:val="Dark List Accent 2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43634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</w:style>
  <w:style w:type="table" w:styleId="DarkList-Accent3">
    <w:name w:val="Dark List Accent 3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61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table" w:styleId="DarkList-Accent4">
    <w:name w:val="Dark List Accent 4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8064A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F31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F497A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</w:style>
  <w:style w:type="table" w:styleId="DarkList-Accent5">
    <w:name w:val="Dark List Accent 5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styleId="DarkList-Accent6">
    <w:name w:val="Dark List Accent 6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7470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36C0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</w:style>
  <w:style w:type="table" w:styleId="ColorfulShading">
    <w:name w:val="Colorful Shading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1">
    <w:name w:val="Colorful Shading Accent 1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C4C74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C4C74" w:themeColor="accent1" w:themeShade="99"/>
          <w:insideV w:val="nil"/>
        </w:tcBorders>
        <w:shd w:val="clear" w:color="auto" w:fill="2C4C74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C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BFDE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2">
    <w:name w:val="Colorful Shading Accent 2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72C2A" w:themeColor="accent2" w:themeShade="99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3">
    <w:name w:val="Colorful Shading Accent 3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8064A2" w:themeColor="accent4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E7530" w:themeColor="accent3" w:themeShade="99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Shading-Accent4">
    <w:name w:val="Colorful Shading Accent 4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9BBB59" w:themeColor="accent3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C3B62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C3B62" w:themeColor="accent4" w:themeShade="99"/>
          <w:insideV w:val="nil"/>
        </w:tcBorders>
        <w:shd w:val="clear" w:color="auto" w:fill="4C3B62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B62" w:themeFill="accent4" w:themeFillShade="99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BFB1D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5">
    <w:name w:val="Colorful Shading Accent 5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F79646" w:themeColor="accent6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76A7C" w:themeColor="accent5" w:themeShade="99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6">
    <w:name w:val="Colorful Shading Accent 6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4BACC6" w:themeColor="accent5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65608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65608" w:themeColor="accent6" w:themeShade="99"/>
          <w:insideV w:val="nil"/>
        </w:tcBorders>
        <w:shd w:val="clear" w:color="auto" w:fill="B65608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 w:themeFill="accent6" w:themeFillShade="99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CAA2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List">
    <w:name w:val="Colorful List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ColorfulList-Accent1">
    <w:name w:val="Colorful List Accent 1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ColorfulList-Accent2">
    <w:name w:val="Colorful List Accent 2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ColorfulList-Accent3">
    <w:name w:val="Colorful List Accent 3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ColorfulList-Accent4">
    <w:name w:val="Colorful List Accent 4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E9C40" w:themeFill="accent3" w:themeFillShade="CC"/>
      </w:tcPr>
    </w:tblStylePr>
    <w:tblStylePr w:type="lastRow">
      <w:rPr>
        <w:b/>
        <w:bCs/>
        <w:color w:val="7E9C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ColorfulList-Accent5">
    <w:name w:val="Colorful List Accent 5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F2730A" w:themeFill="accent6" w:themeFillShade="CC"/>
      </w:tcPr>
    </w:tblStylePr>
    <w:tblStylePr w:type="lastRow">
      <w:rPr>
        <w:b/>
        <w:bCs/>
        <w:color w:val="F2730A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ColorfulList-Accent6">
    <w:name w:val="Colorful List Accent 6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48DA5" w:themeFill="accent5" w:themeFillShade="CC"/>
      </w:tcPr>
    </w:tblStylePr>
    <w:tblStylePr w:type="lastRow">
      <w:rPr>
        <w:b/>
        <w:bCs/>
        <w:color w:val="348DA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ColorfulGrid">
    <w:name w:val="Colorful Grid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rfulGrid-Accent1">
    <w:name w:val="Colorful Grid Accent 1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ColorfulGrid-Accent2">
    <w:name w:val="Colorful Grid Accent 2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ColorfulGrid-Accent3">
    <w:name w:val="Colorful Grid Accent 3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Grid-Accent4">
    <w:name w:val="Colorful Grid Accent 4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ColorfulGrid-Accent5">
    <w:name w:val="Colorful Grid Accent 5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ColorfulGrid-Accent6">
    <w:name w:val="Colorful Grid Accent 6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C693F"/>
  </w:style>
  <w:style w:type="paragraph" w:styleId="Heading1">
    <w:name w:val="heading 1"/>
    <w:basedOn w:val="Normal"/>
    <w:next w:val="Normal"/>
    <w:link w:val="Heading1Char"/>
    <w:uiPriority w:val="9"/>
    <w:qFormat/>
    <w:rsid w:val="00FC693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FC693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FC693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C693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C693F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C693F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FC693F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FC693F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C693F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FC693F"/>
    <w:pPr>
      <w:spacing w:after="0" w:line="240" w:lineRule="auto"/>
    </w:pPr>
  </w:style>
  <w:style w:type="character" w:customStyle="1" w:styleId="Heading1Char">
    <w:name w:val="Heading 1 Char"/>
    <w:basedOn w:val="DefaultParagraphFont"/>
    <w:link w:val="Heading1"/>
    <w:uiPriority w:val="9"/>
    <w:rsid w:val="00FC693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itle">
    <w:name w:val="Title"/>
    <w:basedOn w:val="Normal"/>
    <w:next w:val="Normal"/>
    <w:link w:val="TitleChar"/>
    <w:uiPriority w:val="10"/>
    <w:qFormat/>
    <w:rsid w:val="00FC693F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FC693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FC693F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FC693F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ListParagraph">
    <w:name w:val="List Paragraph"/>
    <w:basedOn w:val="Normal"/>
    <w:uiPriority w:val="34"/>
    <w:qFormat/>
    <w:rsid w:val="00FC693F"/>
    <w:pPr>
      <w:ind w:left="720"/>
      <w:contextualSpacing/>
    </w:pPr>
  </w:style>
  <w:style w:type="paragraph" w:styleId="BodyText">
    <w:name w:val="Body Text"/>
    <w:basedOn w:val="Normal"/>
    <w:link w:val="BodyTextChar"/>
    <w:uiPriority w:val="99"/>
    <w:unhideWhenUsed/>
    <w:rsid w:val="00AA1D8D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rsid w:val="00AA1D8D"/>
  </w:style>
  <w:style w:type="paragraph" w:styleId="BodyText2">
    <w:name w:val="Body Text 2"/>
    <w:basedOn w:val="Normal"/>
    <w:link w:val="BodyText2Char"/>
    <w:uiPriority w:val="99"/>
    <w:unhideWhenUsed/>
    <w:rsid w:val="00AA1D8D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rsid w:val="00AA1D8D"/>
  </w:style>
  <w:style w:type="paragraph" w:styleId="BodyText3">
    <w:name w:val="Body Text 3"/>
    <w:basedOn w:val="Normal"/>
    <w:link w:val="BodyText3Char"/>
    <w:uiPriority w:val="99"/>
    <w:unhideWhenUsed/>
    <w:rsid w:val="00AA1D8D"/>
    <w:pPr>
      <w:spacing w:after="120"/>
    </w:pPr>
    <w:rPr>
      <w:sz w:val="16"/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rsid w:val="00AA1D8D"/>
    <w:rPr>
      <w:sz w:val="16"/>
      <w:szCs w:val="16"/>
    </w:rPr>
  </w:style>
  <w:style w:type="paragraph" w:styleId="List">
    <w:name w:val="List"/>
    <w:basedOn w:val="Normal"/>
    <w:uiPriority w:val="99"/>
    <w:unhideWhenUsed/>
    <w:rsid w:val="00AA1D8D"/>
    <w:pPr>
      <w:ind w:left="360" w:hanging="360"/>
      <w:contextualSpacing/>
    </w:pPr>
  </w:style>
  <w:style w:type="paragraph" w:styleId="List2">
    <w:name w:val="List 2"/>
    <w:basedOn w:val="Normal"/>
    <w:uiPriority w:val="99"/>
    <w:unhideWhenUsed/>
    <w:rsid w:val="00326F90"/>
    <w:pPr>
      <w:ind w:left="720" w:hanging="360"/>
      <w:contextualSpacing/>
    </w:pPr>
  </w:style>
  <w:style w:type="paragraph" w:styleId="List3">
    <w:name w:val="List 3"/>
    <w:basedOn w:val="Normal"/>
    <w:uiPriority w:val="99"/>
    <w:unhideWhenUsed/>
    <w:rsid w:val="00326F90"/>
    <w:pPr>
      <w:ind w:left="1080" w:hanging="360"/>
      <w:contextualSpacing/>
    </w:pPr>
  </w:style>
  <w:style w:type="paragraph" w:styleId="ListBullet">
    <w:name w:val="List Bullet"/>
    <w:basedOn w:val="Normal"/>
    <w:uiPriority w:val="99"/>
    <w:unhideWhenUsed/>
    <w:rsid w:val="00326F90"/>
    <w:pPr>
      <w:numPr>
        <w:numId w:val="1"/>
      </w:numPr>
      <w:contextualSpacing/>
    </w:pPr>
  </w:style>
  <w:style w:type="paragraph" w:styleId="ListBullet2">
    <w:name w:val="List Bullet 2"/>
    <w:basedOn w:val="Normal"/>
    <w:uiPriority w:val="99"/>
    <w:unhideWhenUsed/>
    <w:rsid w:val="00326F90"/>
    <w:pPr>
      <w:numPr>
        <w:numId w:val="2"/>
      </w:numPr>
      <w:contextualSpacing/>
    </w:pPr>
  </w:style>
  <w:style w:type="paragraph" w:styleId="ListBullet3">
    <w:name w:val="List Bullet 3"/>
    <w:basedOn w:val="Normal"/>
    <w:uiPriority w:val="99"/>
    <w:unhideWhenUsed/>
    <w:rsid w:val="00326F90"/>
    <w:pPr>
      <w:numPr>
        <w:numId w:val="3"/>
      </w:numPr>
      <w:contextualSpacing/>
    </w:pPr>
  </w:style>
  <w:style w:type="paragraph" w:styleId="ListNumber">
    <w:name w:val="List Number"/>
    <w:basedOn w:val="Normal"/>
    <w:uiPriority w:val="99"/>
    <w:unhideWhenUsed/>
    <w:rsid w:val="00326F90"/>
    <w:pPr>
      <w:numPr>
        <w:numId w:val="5"/>
      </w:numPr>
      <w:contextualSpacing/>
    </w:pPr>
  </w:style>
  <w:style w:type="paragraph" w:styleId="ListNumber2">
    <w:name w:val="List Number 2"/>
    <w:basedOn w:val="Normal"/>
    <w:uiPriority w:val="99"/>
    <w:unhideWhenUsed/>
    <w:rsid w:val="0029639D"/>
    <w:pPr>
      <w:numPr>
        <w:numId w:val="6"/>
      </w:numPr>
      <w:contextualSpacing/>
    </w:pPr>
  </w:style>
  <w:style w:type="paragraph" w:styleId="ListNumber3">
    <w:name w:val="List Number 3"/>
    <w:basedOn w:val="Normal"/>
    <w:uiPriority w:val="99"/>
    <w:unhideWhenUsed/>
    <w:rsid w:val="0029639D"/>
    <w:pPr>
      <w:numPr>
        <w:numId w:val="7"/>
      </w:numPr>
      <w:contextualSpacing/>
    </w:pPr>
  </w:style>
  <w:style w:type="paragraph" w:styleId="ListContinue">
    <w:name w:val="List Continue"/>
    <w:basedOn w:val="Normal"/>
    <w:uiPriority w:val="99"/>
    <w:unhideWhenUsed/>
    <w:rsid w:val="0029639D"/>
    <w:pPr>
      <w:spacing w:after="120"/>
      <w:ind w:left="360"/>
      <w:contextualSpacing/>
    </w:pPr>
  </w:style>
  <w:style w:type="paragraph" w:styleId="ListContinue2">
    <w:name w:val="List Continue 2"/>
    <w:basedOn w:val="Normal"/>
    <w:uiPriority w:val="99"/>
    <w:unhideWhenUsed/>
    <w:rsid w:val="0029639D"/>
    <w:pPr>
      <w:spacing w:after="120"/>
      <w:ind w:left="720"/>
      <w:contextualSpacing/>
    </w:pPr>
  </w:style>
  <w:style w:type="paragraph" w:styleId="ListContinue3">
    <w:name w:val="List Continue 3"/>
    <w:basedOn w:val="Normal"/>
    <w:uiPriority w:val="99"/>
    <w:unhideWhenUsed/>
    <w:rsid w:val="0029639D"/>
    <w:pPr>
      <w:spacing w:after="120"/>
      <w:ind w:left="1080"/>
      <w:contextualSpacing/>
    </w:pPr>
  </w:style>
  <w:style w:type="paragraph" w:styleId="MacroText">
    <w:name w:val="macro"/>
    <w:link w:val="MacroTextChar"/>
    <w:uiPriority w:val="99"/>
    <w:unhideWhenUsed/>
    <w:rsid w:val="0029639D"/>
    <w:pPr>
      <w:tabs>
        <w:tab w:val="left" w:pos="576"/>
        <w:tab w:val="left" w:pos="1152"/>
        <w:tab w:val="left" w:pos="1728"/>
        <w:tab w:val="left" w:pos="2304"/>
        <w:tab w:val="left" w:pos="2880"/>
        <w:tab w:val="left" w:pos="3456"/>
        <w:tab w:val="left" w:pos="4032"/>
      </w:tabs>
    </w:pPr>
    <w:rPr>
      <w:rFonts w:ascii="Courier" w:hAnsi="Courier"/>
      <w:sz w:val="20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rsid w:val="0029639D"/>
    <w:rPr>
      <w:rFonts w:ascii="Courier" w:hAnsi="Courier"/>
      <w:sz w:val="20"/>
      <w:szCs w:val="20"/>
    </w:rPr>
  </w:style>
  <w:style w:type="paragraph" w:styleId="Quote">
    <w:name w:val="Quote"/>
    <w:basedOn w:val="Normal"/>
    <w:next w:val="Normal"/>
    <w:link w:val="QuoteChar"/>
    <w:uiPriority w:val="29"/>
    <w:qFormat/>
    <w:rsid w:val="00FC693F"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rsid w:val="00FC693F"/>
    <w:rPr>
      <w:i/>
      <w:iCs/>
      <w:color w:val="000000" w:themeColor="text1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C693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C693F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C693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C693F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FC693F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Strong">
    <w:name w:val="Strong"/>
    <w:basedOn w:val="DefaultParagraphFont"/>
    <w:uiPriority w:val="22"/>
    <w:qFormat/>
    <w:rsid w:val="00FC693F"/>
    <w:rPr>
      <w:b/>
      <w:bCs/>
    </w:rPr>
  </w:style>
  <w:style w:type="character" w:styleId="Emphasis">
    <w:name w:val="Emphasis"/>
    <w:basedOn w:val="DefaultParagraphFont"/>
    <w:uiPriority w:val="20"/>
    <w:qFormat/>
    <w:rsid w:val="00FC693F"/>
    <w:rPr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FC693F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C693F"/>
    <w:rPr>
      <w:b/>
      <w:bCs/>
      <w:i/>
      <w:iCs/>
      <w:color w:val="4F81BD" w:themeColor="accent1"/>
    </w:rPr>
  </w:style>
  <w:style w:type="character" w:styleId="SubtleEmphasis">
    <w:name w:val="Subtle Emphasis"/>
    <w:basedOn w:val="DefaultParagraphFont"/>
    <w:uiPriority w:val="19"/>
    <w:qFormat/>
    <w:rsid w:val="00FC693F"/>
    <w:rPr>
      <w:i/>
      <w:iCs/>
      <w:color w:val="808080" w:themeColor="text1" w:themeTint="7F"/>
    </w:rPr>
  </w:style>
  <w:style w:type="character" w:styleId="IntenseEmphasis">
    <w:name w:val="Intense Emphasis"/>
    <w:basedOn w:val="DefaultParagraphFont"/>
    <w:uiPriority w:val="21"/>
    <w:qFormat/>
    <w:rsid w:val="00FC693F"/>
    <w:rPr>
      <w:b/>
      <w:bCs/>
      <w:i/>
      <w:iCs/>
      <w:color w:val="4F81BD" w:themeColor="accent1"/>
    </w:rPr>
  </w:style>
  <w:style w:type="character" w:styleId="SubtleReference">
    <w:name w:val="Subtle Reference"/>
    <w:basedOn w:val="DefaultParagraphFont"/>
    <w:uiPriority w:val="31"/>
    <w:qFormat/>
    <w:rsid w:val="00FC693F"/>
    <w:rPr>
      <w:smallCaps/>
      <w:color w:val="C0504D" w:themeColor="accent2"/>
      <w:u w:val="single"/>
    </w:rPr>
  </w:style>
  <w:style w:type="character" w:styleId="IntenseReference">
    <w:name w:val="Intense Reference"/>
    <w:basedOn w:val="DefaultParagraphFont"/>
    <w:uiPriority w:val="32"/>
    <w:qFormat/>
    <w:rsid w:val="00FC693F"/>
    <w:rPr>
      <w:b/>
      <w:bCs/>
      <w:smallCaps/>
      <w:color w:val="C0504D" w:themeColor="accent2"/>
      <w:spacing w:val="5"/>
      <w:u w:val="single"/>
    </w:rPr>
  </w:style>
  <w:style w:type="character" w:styleId="BookTitle">
    <w:name w:val="Book Title"/>
    <w:basedOn w:val="DefaultParagraphFont"/>
    <w:uiPriority w:val="33"/>
    <w:qFormat/>
    <w:rsid w:val="00FC693F"/>
    <w:rPr>
      <w:b/>
      <w:bCs/>
      <w:smallCaps/>
      <w:spacing w:val="5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FC693F"/>
    <w:pPr>
      <w:outlineLvl w:val="9"/>
    </w:pPr>
  </w:style>
  <w:style w:type="table" w:styleId="TableGrid">
    <w:name w:val="Table Grid"/>
    <w:basedOn w:val="TableNormal"/>
    <w:uiPriority w:val="59"/>
    <w:rsid w:val="00FC693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LightShading">
    <w:name w:val="Light Shading"/>
    <w:basedOn w:val="TableNormal"/>
    <w:uiPriority w:val="60"/>
    <w:rsid w:val="00FC693F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60"/>
    <w:rsid w:val="00FC693F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LightShading-Accent2">
    <w:name w:val="Light Shading Accent 2"/>
    <w:basedOn w:val="TableNormal"/>
    <w:uiPriority w:val="60"/>
    <w:rsid w:val="00FC693F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LightShading-Accent3">
    <w:name w:val="Light Shading Accent 3"/>
    <w:basedOn w:val="TableNormal"/>
    <w:uiPriority w:val="60"/>
    <w:rsid w:val="00FC693F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LightShading-Accent4">
    <w:name w:val="Light Shading Accent 4"/>
    <w:basedOn w:val="TableNormal"/>
    <w:uiPriority w:val="60"/>
    <w:rsid w:val="00FC693F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LightShading-Accent5">
    <w:name w:val="Light Shading Accent 5"/>
    <w:basedOn w:val="TableNormal"/>
    <w:uiPriority w:val="60"/>
    <w:rsid w:val="00FC693F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LightShading-Accent6">
    <w:name w:val="Light Shading Accent 6"/>
    <w:basedOn w:val="TableNormal"/>
    <w:uiPriority w:val="60"/>
    <w:rsid w:val="00FC693F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LightList">
    <w:name w:val="Light List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ghtList-Accent1">
    <w:name w:val="Light List Accent 1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LightList-Accent2">
    <w:name w:val="Light List Accent 2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LightList-Accent3">
    <w:name w:val="Light List Accent 3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LightList-Accent4">
    <w:name w:val="Light List Accent 4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styleId="LightList-Accent5">
    <w:name w:val="Light List Accent 5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LightList-Accent6">
    <w:name w:val="Light List Accent 6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LightGrid">
    <w:name w:val="Light Grid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Grid-Accent1">
    <w:name w:val="Light Grid Accent 1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Grid-Accent2">
    <w:name w:val="Light Grid Accent 2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LightGrid-Accent3">
    <w:name w:val="Light Grid Accent 3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LightGrid-Accent4">
    <w:name w:val="Light Grid Accent 4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LightGrid-Accent5">
    <w:name w:val="Light Grid Accent 5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styleId="LightGrid-Accent6">
    <w:name w:val="Light Grid Accent 6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styleId="MediumShading1">
    <w:name w:val="Medium Shading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List1">
    <w:name w:val="Medium Lis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1-Accent1">
    <w:name w:val="Medium List 1 Accen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MediumList1-Accent2">
    <w:name w:val="Medium List 1 Accent 2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0504D" w:themeColor="accent2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shd w:val="clear" w:color="auto" w:fill="EFD3D2" w:themeFill="accent2" w:themeFillTint="3F"/>
      </w:tcPr>
    </w:tblStylePr>
  </w:style>
  <w:style w:type="table" w:styleId="MediumList1-Accent3">
    <w:name w:val="Medium List 1 Accent 3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BBB59" w:themeColor="accent3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MediumList1-Accent4">
    <w:name w:val="Medium List 1 Accent 4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064A2" w:themeColor="accent4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table" w:styleId="MediumList1-Accent5">
    <w:name w:val="Medium List 1 Accent 5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MediumList1-Accent6">
    <w:name w:val="Medium List 1 Accent 6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9646" w:themeColor="accent6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shd w:val="clear" w:color="auto" w:fill="FDE4D0" w:themeFill="accent6" w:themeFillTint="3F"/>
      </w:tcPr>
    </w:tblStylePr>
  </w:style>
  <w:style w:type="table" w:styleId="MediumList2">
    <w:name w:val="Medium Lis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C0504D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0504D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064A2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64A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79646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646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79646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4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Grid1">
    <w:name w:val="Medium Grid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rid1-Accent1">
    <w:name w:val="Medium Grid 1 Accent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MediumGrid1-Accent2">
    <w:name w:val="Medium Grid 1 Accent 2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  <w:insideV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MediumGrid1-Accent3">
    <w:name w:val="Medium Grid 1 Accent 3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MediumGrid1-Accent4">
    <w:name w:val="Medium Grid 1 Accent 4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MediumGrid1-Accent5">
    <w:name w:val="Medium Grid 1 Accent 5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MediumGrid1-Accent6">
    <w:name w:val="Medium Grid 1 Accent 6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  <w:insideV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MediumGrid2">
    <w:name w:val="Medium Grid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4F81BD" w:themeColor="accent1"/>
          <w:insideV w:val="single" w:sz="6" w:space="0" w:color="4F81BD" w:themeColor="accent1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 w:color="C0504D" w:themeColor="accent2"/>
          <w:insideV w:val="single" w:sz="6" w:space="0" w:color="C0504D" w:themeColor="accent2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2EFF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 w:color="8064A2" w:themeColor="accent4"/>
          <w:insideV w:val="single" w:sz="6" w:space="0" w:color="8064A2" w:themeColor="accent4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 w:color="4BACC6" w:themeColor="accent5"/>
          <w:insideV w:val="single" w:sz="6" w:space="0" w:color="4BACC6" w:themeColor="accent5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 w:color="F79646" w:themeColor="accent6"/>
          <w:insideV w:val="single" w:sz="6" w:space="0" w:color="F79646" w:themeColor="accent6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3">
    <w:name w:val="Medium Grid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rid3-Accent1">
    <w:name w:val="Medium Grid 3 Accent 1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styleId="MediumGrid3-Accent2">
    <w:name w:val="Medium Grid 3 Accent 2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A7A6" w:themeFill="accent2" w:themeFillTint="7F"/>
      </w:tcPr>
    </w:tblStylePr>
  </w:style>
  <w:style w:type="table" w:styleId="MediumGrid3-Accent3">
    <w:name w:val="Medium Grid 3 Accent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DDAC" w:themeFill="accent3" w:themeFillTint="7F"/>
      </w:tcPr>
    </w:tblStylePr>
  </w:style>
  <w:style w:type="table" w:styleId="MediumGrid3-Accent4">
    <w:name w:val="Medium Grid 3 Accent 4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FB1D0" w:themeFill="accent4" w:themeFillTint="7F"/>
      </w:tcPr>
    </w:tblStylePr>
  </w:style>
  <w:style w:type="table" w:styleId="MediumGrid3-Accent5">
    <w:name w:val="Medium Grid 3 Accent 5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table" w:styleId="MediumGrid3-Accent6">
    <w:name w:val="Medium Grid 3 Accent 6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DarkList">
    <w:name w:val="Dark List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arkList-Accent1">
    <w:name w:val="Dark List Accent 1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43F6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65F91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</w:style>
  <w:style w:type="table" w:styleId="DarkList-Accent2">
    <w:name w:val="Dark List Accent 2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43634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</w:style>
  <w:style w:type="table" w:styleId="DarkList-Accent3">
    <w:name w:val="Dark List Accent 3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61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table" w:styleId="DarkList-Accent4">
    <w:name w:val="Dark List Accent 4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8064A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F31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F497A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</w:style>
  <w:style w:type="table" w:styleId="DarkList-Accent5">
    <w:name w:val="Dark List Accent 5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styleId="DarkList-Accent6">
    <w:name w:val="Dark List Accent 6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7470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36C0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</w:style>
  <w:style w:type="table" w:styleId="ColorfulShading">
    <w:name w:val="Colorful Shading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1">
    <w:name w:val="Colorful Shading Accent 1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C4C74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C4C74" w:themeColor="accent1" w:themeShade="99"/>
          <w:insideV w:val="nil"/>
        </w:tcBorders>
        <w:shd w:val="clear" w:color="auto" w:fill="2C4C74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C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BFDE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2">
    <w:name w:val="Colorful Shading Accent 2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72C2A" w:themeColor="accent2" w:themeShade="99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3">
    <w:name w:val="Colorful Shading Accent 3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8064A2" w:themeColor="accent4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E7530" w:themeColor="accent3" w:themeShade="99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Shading-Accent4">
    <w:name w:val="Colorful Shading Accent 4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9BBB59" w:themeColor="accent3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C3B62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C3B62" w:themeColor="accent4" w:themeShade="99"/>
          <w:insideV w:val="nil"/>
        </w:tcBorders>
        <w:shd w:val="clear" w:color="auto" w:fill="4C3B62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B62" w:themeFill="accent4" w:themeFillShade="99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BFB1D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5">
    <w:name w:val="Colorful Shading Accent 5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F79646" w:themeColor="accent6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76A7C" w:themeColor="accent5" w:themeShade="99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6">
    <w:name w:val="Colorful Shading Accent 6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4BACC6" w:themeColor="accent5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65608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65608" w:themeColor="accent6" w:themeShade="99"/>
          <w:insideV w:val="nil"/>
        </w:tcBorders>
        <w:shd w:val="clear" w:color="auto" w:fill="B65608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 w:themeFill="accent6" w:themeFillShade="99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CAA2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List">
    <w:name w:val="Colorful List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ColorfulList-Accent1">
    <w:name w:val="Colorful List Accent 1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ColorfulList-Accent2">
    <w:name w:val="Colorful List Accent 2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ColorfulList-Accent3">
    <w:name w:val="Colorful List Accent 3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ColorfulList-Accent4">
    <w:name w:val="Colorful List Accent 4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E9C40" w:themeFill="accent3" w:themeFillShade="CC"/>
      </w:tcPr>
    </w:tblStylePr>
    <w:tblStylePr w:type="lastRow">
      <w:rPr>
        <w:b/>
        <w:bCs/>
        <w:color w:val="7E9C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ColorfulList-Accent5">
    <w:name w:val="Colorful List Accent 5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F2730A" w:themeFill="accent6" w:themeFillShade="CC"/>
      </w:tcPr>
    </w:tblStylePr>
    <w:tblStylePr w:type="lastRow">
      <w:rPr>
        <w:b/>
        <w:bCs/>
        <w:color w:val="F2730A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ColorfulList-Accent6">
    <w:name w:val="Colorful List Accent 6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48DA5" w:themeFill="accent5" w:themeFillShade="CC"/>
      </w:tcPr>
    </w:tblStylePr>
    <w:tblStylePr w:type="lastRow">
      <w:rPr>
        <w:b/>
        <w:bCs/>
        <w:color w:val="348DA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ColorfulGrid">
    <w:name w:val="Colorful Grid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rfulGrid-Accent1">
    <w:name w:val="Colorful Grid Accent 1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ColorfulGrid-Accent2">
    <w:name w:val="Colorful Grid Accent 2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ColorfulGrid-Accent3">
    <w:name w:val="Colorful Grid Accent 3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Grid-Accent4">
    <w:name w:val="Colorful Grid Accent 4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ColorfulGrid-Accent5">
    <w:name w:val="Colorful Grid Accent 5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ColorfulGrid-Accent6">
    <w:name w:val="Colorful Grid Accent 6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'1.0' encoding='UTF-8' standalone='yes'?>
<Relationships xmlns="http://schemas.openxmlformats.org/package/2006/relationships"><Relationship Id="rId3" Type="http://schemas.openxmlformats.org/officeDocument/2006/relationships/styles" Target="styles.xml"/><Relationship Id="rId4" Type="http://schemas.microsoft.com/office/2007/relationships/stylesWithEffects" Target="stylesWithEffects.xml"/><Relationship Id="rId5" Type="http://schemas.openxmlformats.org/officeDocument/2006/relationships/settings" Target="settings.xml"/><Relationship Id="rId6" Type="http://schemas.openxmlformats.org/officeDocument/2006/relationships/webSettings" Target="webSettings.xml"/><Relationship Id="rId7" Type="http://schemas.openxmlformats.org/officeDocument/2006/relationships/fontTable" Target="fontTable.xml"/><Relationship Id="rId8" Type="http://schemas.openxmlformats.org/officeDocument/2006/relationships/theme" Target="theme/theme1.xml"/><Relationship Id="rId1" Type="http://schemas.openxmlformats.org/officeDocument/2006/relationships/customXml" Target="../customXml/item1.xml"/><Relationship Id="rId2" Type="http://schemas.openxmlformats.org/officeDocument/2006/relationships/numbering" Target="numbering.xml"/><Relationship Id="rId9" Type="http://schemas.openxmlformats.org/officeDocument/2006/relationships/header" Target="header1.xml"/><Relationship Id="rId10" Type="http://schemas.openxmlformats.org/officeDocument/2006/relationships/footer" Target="footer1.xml"/><Relationship Id="rId11" Type="http://schemas.openxmlformats.org/officeDocument/2006/relationships/image" Target="media/image1.png"/><Relationship Id="rId12" Type="http://schemas.openxmlformats.org/officeDocument/2006/relationships/image" Target="media/image2.png"/><Relationship Id="rId13" Type="http://schemas.openxmlformats.org/officeDocument/2006/relationships/image" Target="media/image3.png"/><Relationship Id="rId14" Type="http://schemas.openxmlformats.org/officeDocument/2006/relationships/image" Target="media/image4.png"/><Relationship Id="rId15" Type="http://schemas.openxmlformats.org/officeDocument/2006/relationships/image" Target="media/image5.png"/><Relationship Id="rId16" Type="http://schemas.openxmlformats.org/officeDocument/2006/relationships/image" Target="media/image6.png"/><Relationship Id="rId17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'1.0' encoding='UTF-8' standalone='yes'?>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EF278816-EC6F-A645-907D-7F25AECB1D4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0</Words>
  <Characters>0</Characters>
  <Application>Microsoft Macintosh Word</Application>
  <DocSecurity>0</DocSecurity>
  <Lines>0</Lines>
  <Paragraphs>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Manager/>
  <Company/>
  <LinksUpToDate>false</LinksUpToDate>
  <CharactersWithSpaces>0</CharactersWithSpaces>
  <SharedDoc>false</SharedDoc>
  <HyperlinkBase/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python-docx</dc:creator>
  <cp:keywords/>
  <dc:description>generated by python-docx</dc:description>
  <cp:lastModifiedBy/>
  <cp:revision>1</cp:revision>
  <dcterms:created xsi:type="dcterms:W3CDTF">2013-12-23T23:15:00Z</dcterms:created>
  <dcterms:modified xsi:type="dcterms:W3CDTF">2013-12-23T23:15:00Z</dcterms:modified>
  <cp:category/>
</cp:coreProperties>
</file>