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spacing w:before="0" w:after="160" w:line="269" w:lineRule="auto"/>
      </w:pPr>
      <w:r>
        <w:rPr>
          <w:rFonts w:ascii="Calibri" w:hAnsi="Calibri"/>
          <w:b/>
          <w:i w:val="0"/>
          <w:color w:val="2FD27A"/>
          <w:sz w:val="18"/>
        </w:rPr>
        <w:t>STUDENT EXPLAINER PACK | SEVEN LESSONS</w:t>
      </w:r>
    </w:p>
    <w:p>
      <w:pPr>
        <w:spacing w:before="0" w:after="100" w:line="269" w:lineRule="auto"/>
      </w:pPr>
      <w:r>
        <w:rPr>
          <w:rFonts w:ascii="Calibri" w:hAnsi="Calibri"/>
          <w:b/>
          <w:i w:val="0"/>
          <w:color w:val="0B2A1F"/>
          <w:sz w:val="52"/>
        </w:rPr>
        <w:t>How a face is built</w:t>
      </w:r>
    </w:p>
    <w:p>
      <w:pPr>
        <w:spacing w:before="0" w:after="320" w:line="269" w:lineRule="auto"/>
      </w:pPr>
      <w:r>
        <w:rPr>
          <w:rFonts w:ascii="Calibri" w:hAnsi="Calibri"/>
          <w:b w:val="0"/>
          <w:i w:val="0"/>
          <w:color w:val="527267"/>
          <w:sz w:val="25"/>
        </w:rPr>
        <w:t>Plain-language science notes for the case file and the Socratic questions</w:t>
      </w:r>
    </w:p>
    <w:p>
      <w:pPr>
        <w:spacing w:after="240"/>
        <w:pBdr>
          <w:bottom w:val="single" w:sz="12" w:space="1" w:color="2FD27A"/>
        </w:pBdr>
      </w:pPr>
    </w:p>
    <w:p>
      <w:pPr>
        <w:spacing w:before="80" w:after="60"/>
        <w:jc w:val="center"/>
      </w:pPr>
      <w:r>
        <w:drawing>
          <wp:inline xmlns:a="http://schemas.openxmlformats.org/drawingml/2006/main" xmlns:pic="http://schemas.openxmlformats.org/drawingml/2006/picture">
            <wp:extent cx="5212080" cy="2933354"/>
            <wp:docPr id="1" name="Picture 1" descr="bio lesson 02 face build"/>
            <wp:cNvGraphicFramePr>
              <a:graphicFrameLocks noChangeAspect="1"/>
            </wp:cNvGraphicFramePr>
            <a:graphic>
              <a:graphicData uri="http://schemas.openxmlformats.org/drawingml/2006/picture">
                <pic:pic>
                  <pic:nvPicPr>
                    <pic:cNvPr id="0" name="bio-lesson-02-face-build.png"/>
                    <pic:cNvPicPr/>
                  </pic:nvPicPr>
                  <pic:blipFill>
                    <a:blip r:embed="rId11"/>
                    <a:stretch>
                      <a:fillRect/>
                    </a:stretch>
                  </pic:blipFill>
                  <pic:spPr>
                    <a:xfrm>
                      <a:off x="0" y="0"/>
                      <a:ext cx="5212080" cy="2933354"/>
                    </a:xfrm>
                    <a:prstGeom prst="rect"/>
                  </pic:spPr>
                </pic:pic>
              </a:graphicData>
            </a:graphic>
          </wp:inline>
        </w:drawing>
      </w:r>
    </w:p>
    <w:p>
      <w:pPr>
        <w:spacing w:after="160"/>
        <w:jc w:val="center"/>
      </w:pPr>
      <w:r>
        <w:rPr>
          <w:rFonts w:ascii="Calibri" w:hAnsi="Calibri"/>
          <w:b w:val="0"/>
          <w:i/>
          <w:color w:val="527267"/>
          <w:sz w:val="17"/>
        </w:rPr>
        <w:t>The unit story: cells move, choose roles, meet, and remodel.</w:t>
      </w:r>
    </w:p>
    <w:tbl>
      <w:tblPr>
        <w:tblW w:type="auto" w:w="0"/>
        <w:jc w:val="left"/>
        <w:tblLayout w:type="fixed"/>
        <w:tblLook w:firstColumn="1" w:firstRow="1" w:lastColumn="0" w:lastRow="0" w:noHBand="0" w:noVBand="1" w:val="04A0"/>
      </w:tblPr>
      <w:tblGrid>
        <w:gridCol w:w="9648"/>
      </w:tblGrid>
      <w:tr>
        <w:tc>
          <w:tcPr>
            <w:tcW w:type="dxa" w:w="9360"/>
            <w:shd w:fill="FFF7D6"/>
            <w:tcMar>
              <w:top w:w="100" w:type="dxa"/>
              <w:start w:w="140" w:type="dxa"/>
              <w:bottom w:w="100" w:type="dxa"/>
              <w:end w:w="140" w:type="dxa"/>
            </w:tcMar>
            <w:vAlign w:val="center"/>
          </w:tcPr>
          <w:p>
            <w:pPr>
              <w:spacing w:after="40"/>
            </w:pPr>
            <w:r>
              <w:rPr>
                <w:rFonts w:ascii="Calibri" w:hAnsi="Calibri"/>
                <w:b/>
                <w:i w:val="0"/>
                <w:color w:val="F5C542"/>
                <w:sz w:val="18"/>
              </w:rPr>
              <w:t xml:space="preserve">HOW TO USE THIS PACK  </w:t>
            </w:r>
            <w:r>
              <w:rPr>
                <w:rFonts w:ascii="Calibri" w:hAnsi="Calibri"/>
                <w:b w:val="0"/>
                <w:i w:val="0"/>
                <w:color w:val="0B2A1F"/>
                <w:sz w:val="21"/>
              </w:rPr>
              <w:t>Read the short explanation before you answer the deck question. Then point to a supplied figure or evidence card. If you cannot point to evidence inside the packet, write that the evidence is missing instead of searching the web.</w:t>
            </w:r>
          </w:p>
        </w:tc>
      </w:tr>
    </w:tbl>
    <w:p>
      <w:pPr>
        <w:spacing w:before="0" w:after="80" w:line="269" w:lineRule="auto"/>
      </w:pPr>
    </w:p>
    <w:p>
      <w:r>
        <w:br w:type="page"/>
      </w:r>
    </w:p>
    <w:p>
      <w:pPr>
        <w:pStyle w:val="Heading1"/>
      </w:pPr>
      <w:r>
        <w:t>Lesson 1 | Observe before you explain</w:t>
      </w:r>
    </w:p>
    <w:p>
      <w:pPr>
        <w:spacing w:before="80" w:after="60"/>
        <w:jc w:val="center"/>
      </w:pPr>
      <w:r>
        <w:drawing>
          <wp:inline xmlns:a="http://schemas.openxmlformats.org/drawingml/2006/main" xmlns:pic="http://schemas.openxmlformats.org/drawingml/2006/picture">
            <wp:extent cx="5074920" cy="2856160"/>
            <wp:docPr id="2" name="Picture 2" descr="case file illustration"/>
            <wp:cNvGraphicFramePr>
              <a:graphicFrameLocks noChangeAspect="1"/>
            </wp:cNvGraphicFramePr>
            <a:graphic>
              <a:graphicData uri="http://schemas.openxmlformats.org/drawingml/2006/picture">
                <pic:pic>
                  <pic:nvPicPr>
                    <pic:cNvPr id="0" name="case-file-illustration.png"/>
                    <pic:cNvPicPr/>
                  </pic:nvPicPr>
                  <pic:blipFill>
                    <a:blip r:embed="rId12"/>
                    <a:stretch>
                      <a:fillRect/>
                    </a:stretch>
                  </pic:blipFill>
                  <pic:spPr>
                    <a:xfrm>
                      <a:off x="0" y="0"/>
                      <a:ext cx="5074920" cy="2856160"/>
                    </a:xfrm>
                    <a:prstGeom prst="rect"/>
                  </pic:spPr>
                </pic:pic>
              </a:graphicData>
            </a:graphic>
          </wp:inline>
        </w:drawing>
      </w:r>
    </w:p>
    <w:p>
      <w:pPr>
        <w:spacing w:after="160"/>
        <w:jc w:val="center"/>
      </w:pPr>
      <w:r>
        <w:rPr>
          <w:rFonts w:ascii="Calibri" w:hAnsi="Calibri"/>
          <w:b w:val="0"/>
          <w:i/>
          <w:color w:val="527267"/>
          <w:sz w:val="17"/>
        </w:rPr>
        <w:t>Lesson 1 visual anchor.</w:t>
      </w:r>
    </w:p>
    <w:p>
      <w:pPr>
        <w:spacing w:before="0" w:after="120" w:line="269" w:lineRule="auto"/>
      </w:pPr>
      <w:r>
        <w:rPr>
          <w:rFonts w:ascii="Calibri" w:hAnsi="Calibri"/>
          <w:b w:val="0"/>
          <w:i w:val="0"/>
          <w:color w:val="0B2A1F"/>
          <w:sz w:val="21"/>
        </w:rPr>
        <w:t>An observation is what a record or image shows. A hypothesis is a testable idea about why it happened. In this unit, the opening in the lip or palate is an observation. “A gene caused it” is not an observation; it is a claim that needs evidence.</w:t>
      </w:r>
    </w:p>
    <w:tbl>
      <w:tblPr>
        <w:tblW w:type="auto" w:w="0"/>
        <w:jc w:val="left"/>
        <w:tblLayout w:type="fixed"/>
        <w:tblLook w:firstColumn="1" w:firstRow="1" w:lastColumn="0" w:lastRow="0" w:noHBand="0" w:noVBand="1" w:val="04A0"/>
      </w:tblPr>
      <w:tblGrid>
        <w:gridCol w:w="9648"/>
      </w:tblGrid>
      <w:tr>
        <w:tc>
          <w:tcPr>
            <w:tcW w:type="dxa" w:w="9360"/>
            <w:shd w:fill="EAF8F0"/>
            <w:tcMar>
              <w:top w:w="100" w:type="dxa"/>
              <w:start w:w="140" w:type="dxa"/>
              <w:bottom w:w="100" w:type="dxa"/>
              <w:end w:w="140" w:type="dxa"/>
            </w:tcMar>
            <w:vAlign w:val="center"/>
          </w:tcPr>
          <w:p>
            <w:pPr>
              <w:spacing w:after="40"/>
            </w:pPr>
            <w:r>
              <w:rPr>
                <w:rFonts w:ascii="Calibri" w:hAnsi="Calibri"/>
                <w:b/>
                <w:i w:val="0"/>
                <w:color w:val="2FD27A"/>
                <w:sz w:val="18"/>
              </w:rPr>
              <w:t xml:space="preserve">WORDS TO KEEP  </w:t>
            </w:r>
            <w:r>
              <w:rPr>
                <w:rFonts w:ascii="Calibri" w:hAnsi="Calibri"/>
                <w:b w:val="0"/>
                <w:i w:val="0"/>
                <w:color w:val="0B2A1F"/>
                <w:sz w:val="21"/>
              </w:rPr>
              <w:t>Vocabulary: observation = what is seen; hypothesis = an idea that can be tested; evidence = a result that supports or weakens an idea.</w:t>
            </w:r>
          </w:p>
        </w:tc>
      </w:tr>
    </w:tbl>
    <w:p>
      <w:pPr>
        <w:spacing w:before="0" w:after="80" w:line="269" w:lineRule="auto"/>
      </w:pPr>
    </w:p>
    <w:tbl>
      <w:tblPr>
        <w:tblW w:type="auto" w:w="0"/>
        <w:jc w:val="left"/>
        <w:tblLayout w:type="fixed"/>
        <w:tblLook w:firstColumn="1" w:firstRow="1" w:lastColumn="0" w:lastRow="0" w:noHBand="0" w:noVBand="1" w:val="04A0"/>
      </w:tblPr>
      <w:tblGrid>
        <w:gridCol w:w="9648"/>
      </w:tblGrid>
      <w:tr>
        <w:tc>
          <w:tcPr>
            <w:tcW w:type="dxa" w:w="9360"/>
            <w:shd w:fill="FFF7D6"/>
            <w:tcMar>
              <w:top w:w="100" w:type="dxa"/>
              <w:start w:w="140" w:type="dxa"/>
              <w:bottom w:w="100" w:type="dxa"/>
              <w:end w:w="140" w:type="dxa"/>
            </w:tcMar>
            <w:vAlign w:val="center"/>
          </w:tcPr>
          <w:p>
            <w:pPr>
              <w:spacing w:after="40"/>
            </w:pPr>
            <w:r>
              <w:rPr>
                <w:rFonts w:ascii="Calibri" w:hAnsi="Calibri"/>
                <w:b/>
                <w:i w:val="0"/>
                <w:color w:val="F5C542"/>
                <w:sz w:val="18"/>
              </w:rPr>
              <w:t xml:space="preserve">USE IT NOW  </w:t>
            </w:r>
            <w:r>
              <w:rPr>
                <w:rFonts w:ascii="Calibri" w:hAnsi="Calibri"/>
                <w:b w:val="0"/>
                <w:i w:val="0"/>
                <w:color w:val="0B2A1F"/>
                <w:sz w:val="21"/>
              </w:rPr>
              <w:t>Use it now: Write one observation from CF-001 and one question that could be answered with evidence.</w:t>
            </w:r>
          </w:p>
        </w:tc>
      </w:tr>
    </w:tbl>
    <w:p>
      <w:pPr>
        <w:spacing w:before="0" w:after="80" w:line="269" w:lineRule="auto"/>
      </w:pPr>
    </w:p>
    <w:p>
      <w:pPr>
        <w:spacing w:before="0" w:after="60" w:line="269" w:lineRule="auto"/>
      </w:pPr>
      <w:r>
        <w:rPr>
          <w:rFonts w:ascii="Calibri" w:hAnsi="Calibri"/>
          <w:b w:val="0"/>
          <w:i/>
          <w:color w:val="527267"/>
          <w:sz w:val="17"/>
        </w:rPr>
        <w:t>Optional link: NIDCR, Cleft Lip and Palate: https://www.nidcr.nih.gov/health-info/cleft-lip-palate</w:t>
      </w:r>
    </w:p>
    <w:p>
      <w:r>
        <w:br w:type="page"/>
      </w:r>
    </w:p>
    <w:p>
      <w:pPr>
        <w:pStyle w:val="Heading1"/>
      </w:pPr>
      <w:r>
        <w:t>Lesson 2 | Build on a schedule</w:t>
      </w:r>
    </w:p>
    <w:p>
      <w:pPr>
        <w:spacing w:before="80" w:after="60"/>
        <w:jc w:val="center"/>
      </w:pPr>
      <w:r>
        <w:drawing>
          <wp:inline xmlns:a="http://schemas.openxmlformats.org/drawingml/2006/main" xmlns:pic="http://schemas.openxmlformats.org/drawingml/2006/picture">
            <wp:extent cx="5074920" cy="2856160"/>
            <wp:docPr id="3" name="Picture 3" descr="bio lesson 02 face build"/>
            <wp:cNvGraphicFramePr>
              <a:graphicFrameLocks noChangeAspect="1"/>
            </wp:cNvGraphicFramePr>
            <a:graphic>
              <a:graphicData uri="http://schemas.openxmlformats.org/drawingml/2006/picture">
                <pic:pic>
                  <pic:nvPicPr>
                    <pic:cNvPr id="0" name="bio-lesson-02-face-build.png"/>
                    <pic:cNvPicPr/>
                  </pic:nvPicPr>
                  <pic:blipFill>
                    <a:blip r:embed="rId11"/>
                    <a:stretch>
                      <a:fillRect/>
                    </a:stretch>
                  </pic:blipFill>
                  <pic:spPr>
                    <a:xfrm>
                      <a:off x="0" y="0"/>
                      <a:ext cx="5074920" cy="2856160"/>
                    </a:xfrm>
                    <a:prstGeom prst="rect"/>
                  </pic:spPr>
                </pic:pic>
              </a:graphicData>
            </a:graphic>
          </wp:inline>
        </w:drawing>
      </w:r>
    </w:p>
    <w:p>
      <w:pPr>
        <w:spacing w:after="160"/>
        <w:jc w:val="center"/>
      </w:pPr>
      <w:r>
        <w:rPr>
          <w:rFonts w:ascii="Calibri" w:hAnsi="Calibri"/>
          <w:b w:val="0"/>
          <w:i/>
          <w:color w:val="527267"/>
          <w:sz w:val="17"/>
        </w:rPr>
        <w:t>Lesson 2 visual anchor.</w:t>
      </w:r>
    </w:p>
    <w:p>
      <w:pPr>
        <w:spacing w:before="0" w:after="120" w:line="269" w:lineRule="auto"/>
      </w:pPr>
      <w:r>
        <w:rPr>
          <w:rFonts w:ascii="Calibri" w:hAnsi="Calibri"/>
          <w:b w:val="0"/>
          <w:i w:val="0"/>
          <w:color w:val="0B2A1F"/>
          <w:sz w:val="21"/>
        </w:rPr>
        <w:t>The early face is assembled from tissue regions called prominences. These regions grow toward one another and fuse. Fusion means the edges meet and become one continuous tissue. Because each step has a time window, the same visible opening can come from different missed steps.</w:t>
      </w:r>
    </w:p>
    <w:tbl>
      <w:tblPr>
        <w:tblW w:type="auto" w:w="0"/>
        <w:jc w:val="left"/>
        <w:tblLayout w:type="fixed"/>
        <w:tblLook w:firstColumn="1" w:firstRow="1" w:lastColumn="0" w:lastRow="0" w:noHBand="0" w:noVBand="1" w:val="04A0"/>
      </w:tblPr>
      <w:tblGrid>
        <w:gridCol w:w="9648"/>
      </w:tblGrid>
      <w:tr>
        <w:tc>
          <w:tcPr>
            <w:tcW w:type="dxa" w:w="9360"/>
            <w:shd w:fill="EAF8F0"/>
            <w:tcMar>
              <w:top w:w="100" w:type="dxa"/>
              <w:start w:w="140" w:type="dxa"/>
              <w:bottom w:w="100" w:type="dxa"/>
              <w:end w:w="140" w:type="dxa"/>
            </w:tcMar>
            <w:vAlign w:val="center"/>
          </w:tcPr>
          <w:p>
            <w:pPr>
              <w:spacing w:after="40"/>
            </w:pPr>
            <w:r>
              <w:rPr>
                <w:rFonts w:ascii="Calibri" w:hAnsi="Calibri"/>
                <w:b/>
                <w:i w:val="0"/>
                <w:color w:val="2FD27A"/>
                <w:sz w:val="18"/>
              </w:rPr>
              <w:t xml:space="preserve">WORDS TO KEEP  </w:t>
            </w:r>
            <w:r>
              <w:rPr>
                <w:rFonts w:ascii="Calibri" w:hAnsi="Calibri"/>
                <w:b w:val="0"/>
                <w:i w:val="0"/>
                <w:color w:val="0B2A1F"/>
                <w:sz w:val="21"/>
              </w:rPr>
              <w:t>Vocabulary: prominence = a facial tissue region; fuse = join into one tissue; time window = the period when a step can occur.</w:t>
            </w:r>
          </w:p>
        </w:tc>
      </w:tr>
    </w:tbl>
    <w:p>
      <w:pPr>
        <w:spacing w:before="0" w:after="80" w:line="269" w:lineRule="auto"/>
      </w:pPr>
    </w:p>
    <w:tbl>
      <w:tblPr>
        <w:tblW w:type="auto" w:w="0"/>
        <w:jc w:val="left"/>
        <w:tblLayout w:type="fixed"/>
        <w:tblLook w:firstColumn="1" w:firstRow="1" w:lastColumn="0" w:lastRow="0" w:noHBand="0" w:noVBand="1" w:val="04A0"/>
      </w:tblPr>
      <w:tblGrid>
        <w:gridCol w:w="9648"/>
      </w:tblGrid>
      <w:tr>
        <w:tc>
          <w:tcPr>
            <w:tcW w:type="dxa" w:w="9360"/>
            <w:shd w:fill="FFF7D6"/>
            <w:tcMar>
              <w:top w:w="100" w:type="dxa"/>
              <w:start w:w="140" w:type="dxa"/>
              <w:bottom w:w="100" w:type="dxa"/>
              <w:end w:w="140" w:type="dxa"/>
            </w:tcMar>
            <w:vAlign w:val="center"/>
          </w:tcPr>
          <w:p>
            <w:pPr>
              <w:spacing w:after="40"/>
            </w:pPr>
            <w:r>
              <w:rPr>
                <w:rFonts w:ascii="Calibri" w:hAnsi="Calibri"/>
                <w:b/>
                <w:i w:val="0"/>
                <w:color w:val="F5C542"/>
                <w:sz w:val="18"/>
              </w:rPr>
              <w:t xml:space="preserve">USE IT NOW  </w:t>
            </w:r>
            <w:r>
              <w:rPr>
                <w:rFonts w:ascii="Calibri" w:hAnsi="Calibri"/>
                <w:b w:val="0"/>
                <w:i w:val="0"/>
                <w:color w:val="0B2A1F"/>
                <w:sz w:val="21"/>
              </w:rPr>
              <w:t>Use it now: Place the CF-001 question on the timeline: growth, contact, or remodeling.</w:t>
            </w:r>
          </w:p>
        </w:tc>
      </w:tr>
    </w:tbl>
    <w:p>
      <w:pPr>
        <w:spacing w:before="0" w:after="80" w:line="269" w:lineRule="auto"/>
      </w:pPr>
    </w:p>
    <w:p>
      <w:pPr>
        <w:spacing w:before="0" w:after="60" w:line="269" w:lineRule="auto"/>
      </w:pPr>
      <w:r>
        <w:rPr>
          <w:rFonts w:ascii="Calibri" w:hAnsi="Calibri"/>
          <w:b w:val="0"/>
          <w:i/>
          <w:color w:val="527267"/>
          <w:sz w:val="17"/>
        </w:rPr>
        <w:t>Optional link: Craniofacial development review: https://pmc.ncbi.nlm.nih.gov/articles/PMC3039913/</w:t>
      </w:r>
    </w:p>
    <w:p>
      <w:r>
        <w:br w:type="page"/>
      </w:r>
    </w:p>
    <w:p>
      <w:pPr>
        <w:pStyle w:val="Heading1"/>
      </w:pPr>
      <w:r>
        <w:t>Lesson 3 | A cleft marks an unfinished join</w:t>
      </w:r>
    </w:p>
    <w:p>
      <w:pPr>
        <w:spacing w:before="80" w:after="60"/>
        <w:jc w:val="center"/>
      </w:pPr>
      <w:r>
        <w:drawing>
          <wp:inline xmlns:a="http://schemas.openxmlformats.org/drawingml/2006/main" xmlns:pic="http://schemas.openxmlformats.org/drawingml/2006/picture">
            <wp:extent cx="5074920" cy="2856160"/>
            <wp:docPr id="4" name="Picture 4" descr="bio lesson 03 fusion gap"/>
            <wp:cNvGraphicFramePr>
              <a:graphicFrameLocks noChangeAspect="1"/>
            </wp:cNvGraphicFramePr>
            <a:graphic>
              <a:graphicData uri="http://schemas.openxmlformats.org/drawingml/2006/picture">
                <pic:pic>
                  <pic:nvPicPr>
                    <pic:cNvPr id="0" name="bio-lesson-03-fusion-gap.png"/>
                    <pic:cNvPicPr/>
                  </pic:nvPicPr>
                  <pic:blipFill>
                    <a:blip r:embed="rId13"/>
                    <a:stretch>
                      <a:fillRect/>
                    </a:stretch>
                  </pic:blipFill>
                  <pic:spPr>
                    <a:xfrm>
                      <a:off x="0" y="0"/>
                      <a:ext cx="5074920" cy="2856160"/>
                    </a:xfrm>
                    <a:prstGeom prst="rect"/>
                  </pic:spPr>
                </pic:pic>
              </a:graphicData>
            </a:graphic>
          </wp:inline>
        </w:drawing>
      </w:r>
    </w:p>
    <w:p>
      <w:pPr>
        <w:spacing w:after="160"/>
        <w:jc w:val="center"/>
      </w:pPr>
      <w:r>
        <w:rPr>
          <w:rFonts w:ascii="Calibri" w:hAnsi="Calibri"/>
          <w:b w:val="0"/>
          <w:i/>
          <w:color w:val="527267"/>
          <w:sz w:val="17"/>
        </w:rPr>
        <w:t>Lesson 3 visual anchor.</w:t>
      </w:r>
    </w:p>
    <w:p>
      <w:pPr>
        <w:spacing w:before="0" w:after="120" w:line="269" w:lineRule="auto"/>
      </w:pPr>
      <w:r>
        <w:rPr>
          <w:rFonts w:ascii="Calibri" w:hAnsi="Calibri"/>
          <w:b w:val="0"/>
          <w:i w:val="0"/>
          <w:color w:val="0B2A1F"/>
          <w:sz w:val="21"/>
        </w:rPr>
        <w:t>A cleft is an opening where a continuous lip or palate structure did not form. The word names the result, not the reason. A useful investigator asks whether tissue did not grow enough, did not reach the partner tissue, or reached it but did not finish the seam.</w:t>
      </w:r>
    </w:p>
    <w:tbl>
      <w:tblPr>
        <w:tblW w:type="auto" w:w="0"/>
        <w:jc w:val="left"/>
        <w:tblLayout w:type="fixed"/>
        <w:tblLook w:firstColumn="1" w:firstRow="1" w:lastColumn="0" w:lastRow="0" w:noHBand="0" w:noVBand="1" w:val="04A0"/>
      </w:tblPr>
      <w:tblGrid>
        <w:gridCol w:w="9648"/>
      </w:tblGrid>
      <w:tr>
        <w:tc>
          <w:tcPr>
            <w:tcW w:type="dxa" w:w="9360"/>
            <w:shd w:fill="EAF8F0"/>
            <w:tcMar>
              <w:top w:w="100" w:type="dxa"/>
              <w:start w:w="140" w:type="dxa"/>
              <w:bottom w:w="100" w:type="dxa"/>
              <w:end w:w="140" w:type="dxa"/>
            </w:tcMar>
            <w:vAlign w:val="center"/>
          </w:tcPr>
          <w:p>
            <w:pPr>
              <w:spacing w:after="40"/>
            </w:pPr>
            <w:r>
              <w:rPr>
                <w:rFonts w:ascii="Calibri" w:hAnsi="Calibri"/>
                <w:b/>
                <w:i w:val="0"/>
                <w:color w:val="2FD27A"/>
                <w:sz w:val="18"/>
              </w:rPr>
              <w:t xml:space="preserve">WORDS TO KEEP  </w:t>
            </w:r>
            <w:r>
              <w:rPr>
                <w:rFonts w:ascii="Calibri" w:hAnsi="Calibri"/>
                <w:b w:val="0"/>
                <w:i w:val="0"/>
                <w:color w:val="0B2A1F"/>
                <w:sz w:val="21"/>
              </w:rPr>
              <w:t>Vocabulary: cleft = a persistent opening; contact = two tissue edges touch; seam = the temporary boundary where they meet.</w:t>
            </w:r>
          </w:p>
        </w:tc>
      </w:tr>
    </w:tbl>
    <w:p>
      <w:pPr>
        <w:spacing w:before="0" w:after="80" w:line="269" w:lineRule="auto"/>
      </w:pPr>
    </w:p>
    <w:tbl>
      <w:tblPr>
        <w:tblW w:type="auto" w:w="0"/>
        <w:jc w:val="left"/>
        <w:tblLayout w:type="fixed"/>
        <w:tblLook w:firstColumn="1" w:firstRow="1" w:lastColumn="0" w:lastRow="0" w:noHBand="0" w:noVBand="1" w:val="04A0"/>
      </w:tblPr>
      <w:tblGrid>
        <w:gridCol w:w="9648"/>
      </w:tblGrid>
      <w:tr>
        <w:tc>
          <w:tcPr>
            <w:tcW w:type="dxa" w:w="9360"/>
            <w:shd w:fill="FFF7D6"/>
            <w:tcMar>
              <w:top w:w="100" w:type="dxa"/>
              <w:start w:w="140" w:type="dxa"/>
              <w:bottom w:w="100" w:type="dxa"/>
              <w:end w:w="140" w:type="dxa"/>
            </w:tcMar>
            <w:vAlign w:val="center"/>
          </w:tcPr>
          <w:p>
            <w:pPr>
              <w:spacing w:after="40"/>
            </w:pPr>
            <w:r>
              <w:rPr>
                <w:rFonts w:ascii="Calibri" w:hAnsi="Calibri"/>
                <w:b/>
                <w:i w:val="0"/>
                <w:color w:val="F5C542"/>
                <w:sz w:val="18"/>
              </w:rPr>
              <w:t xml:space="preserve">USE IT NOW  </w:t>
            </w:r>
            <w:r>
              <w:rPr>
                <w:rFonts w:ascii="Calibri" w:hAnsi="Calibri"/>
                <w:b w:val="0"/>
                <w:i w:val="0"/>
                <w:color w:val="0B2A1F"/>
                <w:sz w:val="21"/>
              </w:rPr>
              <w:t>Use it now: Choose the first process you would test for the lip observation and defend the choice with the fusion-gap figure.</w:t>
            </w:r>
          </w:p>
        </w:tc>
      </w:tr>
    </w:tbl>
    <w:p>
      <w:pPr>
        <w:spacing w:before="0" w:after="80" w:line="269" w:lineRule="auto"/>
      </w:pPr>
    </w:p>
    <w:p>
      <w:pPr>
        <w:spacing w:before="0" w:after="60" w:line="269" w:lineRule="auto"/>
      </w:pPr>
      <w:r>
        <w:rPr>
          <w:rFonts w:ascii="Calibri" w:hAnsi="Calibri"/>
          <w:b w:val="0"/>
          <w:i/>
          <w:color w:val="527267"/>
          <w:sz w:val="17"/>
        </w:rPr>
        <w:t>Optional link: NIDCR, Cleft Lip and Palate: https://www.nidcr.nih.gov/health-info/cleft-lip-palate</w:t>
      </w:r>
    </w:p>
    <w:p>
      <w:r>
        <w:br w:type="page"/>
      </w:r>
    </w:p>
    <w:p>
      <w:pPr>
        <w:pStyle w:val="Heading1"/>
      </w:pPr>
      <w:r>
        <w:t>Lesson 4 | Cells travel to the build site</w:t>
      </w:r>
    </w:p>
    <w:p>
      <w:pPr>
        <w:spacing w:before="80" w:after="60"/>
        <w:jc w:val="center"/>
      </w:pPr>
      <w:r>
        <w:drawing>
          <wp:inline xmlns:a="http://schemas.openxmlformats.org/drawingml/2006/main" xmlns:pic="http://schemas.openxmlformats.org/drawingml/2006/picture">
            <wp:extent cx="5074920" cy="2856160"/>
            <wp:docPr id="5" name="Picture 5" descr="bio lesson 04 neural crest"/>
            <wp:cNvGraphicFramePr>
              <a:graphicFrameLocks noChangeAspect="1"/>
            </wp:cNvGraphicFramePr>
            <a:graphic>
              <a:graphicData uri="http://schemas.openxmlformats.org/drawingml/2006/picture">
                <pic:pic>
                  <pic:nvPicPr>
                    <pic:cNvPr id="0" name="bio-lesson-04-neural-crest.png"/>
                    <pic:cNvPicPr/>
                  </pic:nvPicPr>
                  <pic:blipFill>
                    <a:blip r:embed="rId14"/>
                    <a:stretch>
                      <a:fillRect/>
                    </a:stretch>
                  </pic:blipFill>
                  <pic:spPr>
                    <a:xfrm>
                      <a:off x="0" y="0"/>
                      <a:ext cx="5074920" cy="2856160"/>
                    </a:xfrm>
                    <a:prstGeom prst="rect"/>
                  </pic:spPr>
                </pic:pic>
              </a:graphicData>
            </a:graphic>
          </wp:inline>
        </w:drawing>
      </w:r>
    </w:p>
    <w:p>
      <w:pPr>
        <w:spacing w:after="160"/>
        <w:jc w:val="center"/>
      </w:pPr>
      <w:r>
        <w:rPr>
          <w:rFonts w:ascii="Calibri" w:hAnsi="Calibri"/>
          <w:b w:val="0"/>
          <w:i/>
          <w:color w:val="527267"/>
          <w:sz w:val="17"/>
        </w:rPr>
        <w:t>Lesson 4 visual anchor.</w:t>
      </w:r>
    </w:p>
    <w:p>
      <w:pPr>
        <w:spacing w:before="0" w:after="120" w:line="269" w:lineRule="auto"/>
      </w:pPr>
      <w:r>
        <w:rPr>
          <w:rFonts w:ascii="Calibri" w:hAnsi="Calibri"/>
          <w:b w:val="0"/>
          <w:i w:val="0"/>
          <w:color w:val="0B2A1F"/>
          <w:sz w:val="21"/>
        </w:rPr>
        <w:t>Neural crest cells start in one part of the early embryo and migrate to new locations. There they contribute to facial support tissues. A marker such as SOX10 is a tracking label used in model tissue. It can show where cells are, but a label alone does not prove why they moved.</w:t>
      </w:r>
    </w:p>
    <w:tbl>
      <w:tblPr>
        <w:tblW w:type="auto" w:w="0"/>
        <w:jc w:val="left"/>
        <w:tblLayout w:type="fixed"/>
        <w:tblLook w:firstColumn="1" w:firstRow="1" w:lastColumn="0" w:lastRow="0" w:noHBand="0" w:noVBand="1" w:val="04A0"/>
      </w:tblPr>
      <w:tblGrid>
        <w:gridCol w:w="9648"/>
      </w:tblGrid>
      <w:tr>
        <w:tc>
          <w:tcPr>
            <w:tcW w:type="dxa" w:w="9360"/>
            <w:shd w:fill="EAF8F0"/>
            <w:tcMar>
              <w:top w:w="100" w:type="dxa"/>
              <w:start w:w="140" w:type="dxa"/>
              <w:bottom w:w="100" w:type="dxa"/>
              <w:end w:w="140" w:type="dxa"/>
            </w:tcMar>
            <w:vAlign w:val="center"/>
          </w:tcPr>
          <w:p>
            <w:pPr>
              <w:spacing w:after="40"/>
            </w:pPr>
            <w:r>
              <w:rPr>
                <w:rFonts w:ascii="Calibri" w:hAnsi="Calibri"/>
                <w:b/>
                <w:i w:val="0"/>
                <w:color w:val="2FD27A"/>
                <w:sz w:val="18"/>
              </w:rPr>
              <w:t xml:space="preserve">WORDS TO KEEP  </w:t>
            </w:r>
            <w:r>
              <w:rPr>
                <w:rFonts w:ascii="Calibri" w:hAnsi="Calibri"/>
                <w:b w:val="0"/>
                <w:i w:val="0"/>
                <w:color w:val="0B2A1F"/>
                <w:sz w:val="21"/>
              </w:rPr>
              <w:t>Vocabulary: migrate = move from one region to another; neural crest = a traveling embryonic cell population; marker = a label used to track cells.</w:t>
            </w:r>
          </w:p>
        </w:tc>
      </w:tr>
    </w:tbl>
    <w:p>
      <w:pPr>
        <w:spacing w:before="0" w:after="80" w:line="269" w:lineRule="auto"/>
      </w:pPr>
    </w:p>
    <w:tbl>
      <w:tblPr>
        <w:tblW w:type="auto" w:w="0"/>
        <w:jc w:val="left"/>
        <w:tblLayout w:type="fixed"/>
        <w:tblLook w:firstColumn="1" w:firstRow="1" w:lastColumn="0" w:lastRow="0" w:noHBand="0" w:noVBand="1" w:val="04A0"/>
      </w:tblPr>
      <w:tblGrid>
        <w:gridCol w:w="9648"/>
      </w:tblGrid>
      <w:tr>
        <w:tc>
          <w:tcPr>
            <w:tcW w:type="dxa" w:w="9360"/>
            <w:shd w:fill="FFF7D6"/>
            <w:tcMar>
              <w:top w:w="100" w:type="dxa"/>
              <w:start w:w="140" w:type="dxa"/>
              <w:bottom w:w="100" w:type="dxa"/>
              <w:end w:w="140" w:type="dxa"/>
            </w:tcMar>
            <w:vAlign w:val="center"/>
          </w:tcPr>
          <w:p>
            <w:pPr>
              <w:spacing w:after="40"/>
            </w:pPr>
            <w:r>
              <w:rPr>
                <w:rFonts w:ascii="Calibri" w:hAnsi="Calibri"/>
                <w:b/>
                <w:i w:val="0"/>
                <w:color w:val="F5C542"/>
                <w:sz w:val="18"/>
              </w:rPr>
              <w:t xml:space="preserve">USE IT NOW  </w:t>
            </w:r>
            <w:r>
              <w:rPr>
                <w:rFonts w:ascii="Calibri" w:hAnsi="Calibri"/>
                <w:b w:val="0"/>
                <w:i w:val="0"/>
                <w:color w:val="0B2A1F"/>
                <w:sz w:val="21"/>
              </w:rPr>
              <w:t>Use it now: Draw one arrow on the neural crest figure and write what the marker lets you claim.</w:t>
            </w:r>
          </w:p>
        </w:tc>
      </w:tr>
    </w:tbl>
    <w:p>
      <w:pPr>
        <w:spacing w:before="0" w:after="80" w:line="269" w:lineRule="auto"/>
      </w:pPr>
    </w:p>
    <w:p>
      <w:pPr>
        <w:spacing w:before="0" w:after="60" w:line="269" w:lineRule="auto"/>
      </w:pPr>
      <w:r>
        <w:rPr>
          <w:rFonts w:ascii="Calibri" w:hAnsi="Calibri"/>
          <w:b w:val="0"/>
          <w:i/>
          <w:color w:val="527267"/>
          <w:sz w:val="17"/>
        </w:rPr>
        <w:t>Optional link: Cranial neural crest review: https://pmc.ncbi.nlm.nih.gov/articles/PMC11072871/</w:t>
      </w:r>
    </w:p>
    <w:p>
      <w:r>
        <w:br w:type="page"/>
      </w:r>
    </w:p>
    <w:p>
      <w:pPr>
        <w:pStyle w:val="Heading1"/>
      </w:pPr>
      <w:r>
        <w:t>Lesson 5 | Cells choose a role</w:t>
      </w:r>
    </w:p>
    <w:p>
      <w:pPr>
        <w:spacing w:before="80" w:after="60"/>
        <w:jc w:val="center"/>
      </w:pPr>
      <w:r>
        <w:drawing>
          <wp:inline xmlns:a="http://schemas.openxmlformats.org/drawingml/2006/main" xmlns:pic="http://schemas.openxmlformats.org/drawingml/2006/picture">
            <wp:extent cx="5074920" cy="2856160"/>
            <wp:docPr id="6" name="Picture 6" descr="bio lesson 05 cell fate"/>
            <wp:cNvGraphicFramePr>
              <a:graphicFrameLocks noChangeAspect="1"/>
            </wp:cNvGraphicFramePr>
            <a:graphic>
              <a:graphicData uri="http://schemas.openxmlformats.org/drawingml/2006/picture">
                <pic:pic>
                  <pic:nvPicPr>
                    <pic:cNvPr id="0" name="bio-lesson-05-cell-fate.png"/>
                    <pic:cNvPicPr/>
                  </pic:nvPicPr>
                  <pic:blipFill>
                    <a:blip r:embed="rId15"/>
                    <a:stretch>
                      <a:fillRect/>
                    </a:stretch>
                  </pic:blipFill>
                  <pic:spPr>
                    <a:xfrm>
                      <a:off x="0" y="0"/>
                      <a:ext cx="5074920" cy="2856160"/>
                    </a:xfrm>
                    <a:prstGeom prst="rect"/>
                  </pic:spPr>
                </pic:pic>
              </a:graphicData>
            </a:graphic>
          </wp:inline>
        </w:drawing>
      </w:r>
    </w:p>
    <w:p>
      <w:pPr>
        <w:spacing w:after="160"/>
        <w:jc w:val="center"/>
      </w:pPr>
      <w:r>
        <w:rPr>
          <w:rFonts w:ascii="Calibri" w:hAnsi="Calibri"/>
          <w:b w:val="0"/>
          <w:i/>
          <w:color w:val="527267"/>
          <w:sz w:val="17"/>
        </w:rPr>
        <w:t>Lesson 5 visual anchor.</w:t>
      </w:r>
    </w:p>
    <w:p>
      <w:pPr>
        <w:spacing w:before="0" w:after="120" w:line="269" w:lineRule="auto"/>
      </w:pPr>
      <w:r>
        <w:rPr>
          <w:rFonts w:ascii="Calibri" w:hAnsi="Calibri"/>
          <w:b w:val="0"/>
          <w:i w:val="0"/>
          <w:color w:val="0B2A1F"/>
          <w:sz w:val="21"/>
        </w:rPr>
        <w:t>Most cells carry the same DNA, but different genes are active in different cells. A cell reads cues from outside and combines them with its internal state. WNT/β-catenin can support a bone-forming program in cranial progenitors, while SOX9 is linked to a cartilage program and RUNX2 supports bone programs. These are interacting programs, not one magic switch.</w:t>
      </w:r>
    </w:p>
    <w:tbl>
      <w:tblPr>
        <w:tblW w:type="auto" w:w="0"/>
        <w:jc w:val="left"/>
        <w:tblLayout w:type="fixed"/>
        <w:tblLook w:firstColumn="1" w:firstRow="1" w:lastColumn="0" w:lastRow="0" w:noHBand="0" w:noVBand="1" w:val="04A0"/>
      </w:tblPr>
      <w:tblGrid>
        <w:gridCol w:w="9648"/>
      </w:tblGrid>
      <w:tr>
        <w:tc>
          <w:tcPr>
            <w:tcW w:type="dxa" w:w="9360"/>
            <w:shd w:fill="EAF8F0"/>
            <w:tcMar>
              <w:top w:w="100" w:type="dxa"/>
              <w:start w:w="140" w:type="dxa"/>
              <w:bottom w:w="100" w:type="dxa"/>
              <w:end w:w="140" w:type="dxa"/>
            </w:tcMar>
            <w:vAlign w:val="center"/>
          </w:tcPr>
          <w:p>
            <w:pPr>
              <w:spacing w:after="40"/>
            </w:pPr>
            <w:r>
              <w:rPr>
                <w:rFonts w:ascii="Calibri" w:hAnsi="Calibri"/>
                <w:b/>
                <w:i w:val="0"/>
                <w:color w:val="2FD27A"/>
                <w:sz w:val="18"/>
              </w:rPr>
              <w:t xml:space="preserve">WORDS TO KEEP  </w:t>
            </w:r>
            <w:r>
              <w:rPr>
                <w:rFonts w:ascii="Calibri" w:hAnsi="Calibri"/>
                <w:b w:val="0"/>
                <w:i w:val="0"/>
                <w:color w:val="0B2A1F"/>
                <w:sz w:val="21"/>
              </w:rPr>
              <w:t>Vocabulary: cell fate = the role a cell takes; cue = a signal that changes a choice; progenitor = a cell that can still take more than one path.</w:t>
            </w:r>
          </w:p>
        </w:tc>
      </w:tr>
    </w:tbl>
    <w:p>
      <w:pPr>
        <w:spacing w:before="0" w:after="80" w:line="269" w:lineRule="auto"/>
      </w:pPr>
    </w:p>
    <w:tbl>
      <w:tblPr>
        <w:tblW w:type="auto" w:w="0"/>
        <w:jc w:val="left"/>
        <w:tblLayout w:type="fixed"/>
        <w:tblLook w:firstColumn="1" w:firstRow="1" w:lastColumn="0" w:lastRow="0" w:noHBand="0" w:noVBand="1" w:val="04A0"/>
      </w:tblPr>
      <w:tblGrid>
        <w:gridCol w:w="9648"/>
      </w:tblGrid>
      <w:tr>
        <w:tc>
          <w:tcPr>
            <w:tcW w:type="dxa" w:w="9360"/>
            <w:shd w:fill="FFF7D6"/>
            <w:tcMar>
              <w:top w:w="100" w:type="dxa"/>
              <w:start w:w="140" w:type="dxa"/>
              <w:bottom w:w="100" w:type="dxa"/>
              <w:end w:w="140" w:type="dxa"/>
            </w:tcMar>
            <w:vAlign w:val="center"/>
          </w:tcPr>
          <w:p>
            <w:pPr>
              <w:spacing w:after="40"/>
            </w:pPr>
            <w:r>
              <w:rPr>
                <w:rFonts w:ascii="Calibri" w:hAnsi="Calibri"/>
                <w:b/>
                <w:i w:val="0"/>
                <w:color w:val="F5C542"/>
                <w:sz w:val="18"/>
              </w:rPr>
              <w:t xml:space="preserve">USE IT NOW  </w:t>
            </w:r>
            <w:r>
              <w:rPr>
                <w:rFonts w:ascii="Calibri" w:hAnsi="Calibri"/>
                <w:b w:val="0"/>
                <w:i w:val="0"/>
                <w:color w:val="0B2A1F"/>
                <w:sz w:val="21"/>
              </w:rPr>
              <w:t>Use it now: On the cell-fate figure, circle the cue and underline the internal program. Explain why both matter.</w:t>
            </w:r>
          </w:p>
        </w:tc>
      </w:tr>
    </w:tbl>
    <w:p>
      <w:pPr>
        <w:spacing w:before="0" w:after="80" w:line="269" w:lineRule="auto"/>
      </w:pPr>
    </w:p>
    <w:p>
      <w:pPr>
        <w:spacing w:before="0" w:after="60" w:line="269" w:lineRule="auto"/>
      </w:pPr>
      <w:r>
        <w:rPr>
          <w:rFonts w:ascii="Calibri" w:hAnsi="Calibri"/>
          <w:b w:val="0"/>
          <w:i/>
          <w:color w:val="527267"/>
          <w:sz w:val="17"/>
        </w:rPr>
        <w:t>Optional link: WNT and craniofacial bone review: https://pmc.ncbi.nlm.nih.gov/articles/PMC11072871/</w:t>
      </w:r>
    </w:p>
    <w:p>
      <w:r>
        <w:br w:type="page"/>
      </w:r>
    </w:p>
    <w:p>
      <w:pPr>
        <w:pStyle w:val="Heading1"/>
      </w:pPr>
      <w:r>
        <w:t>Lesson 6 | Fusion needs sculpting</w:t>
      </w:r>
    </w:p>
    <w:p>
      <w:pPr>
        <w:spacing w:before="80" w:after="60"/>
        <w:jc w:val="center"/>
      </w:pPr>
      <w:r>
        <w:drawing>
          <wp:inline xmlns:a="http://schemas.openxmlformats.org/drawingml/2006/main" xmlns:pic="http://schemas.openxmlformats.org/drawingml/2006/picture">
            <wp:extent cx="5074920" cy="2856160"/>
            <wp:docPr id="7" name="Picture 7" descr="bio lesson 06 seam remodeling"/>
            <wp:cNvGraphicFramePr>
              <a:graphicFrameLocks noChangeAspect="1"/>
            </wp:cNvGraphicFramePr>
            <a:graphic>
              <a:graphicData uri="http://schemas.openxmlformats.org/drawingml/2006/picture">
                <pic:pic>
                  <pic:nvPicPr>
                    <pic:cNvPr id="0" name="bio-lesson-06-seam-remodeling.png"/>
                    <pic:cNvPicPr/>
                  </pic:nvPicPr>
                  <pic:blipFill>
                    <a:blip r:embed="rId16"/>
                    <a:stretch>
                      <a:fillRect/>
                    </a:stretch>
                  </pic:blipFill>
                  <pic:spPr>
                    <a:xfrm>
                      <a:off x="0" y="0"/>
                      <a:ext cx="5074920" cy="2856160"/>
                    </a:xfrm>
                    <a:prstGeom prst="rect"/>
                  </pic:spPr>
                </pic:pic>
              </a:graphicData>
            </a:graphic>
          </wp:inline>
        </w:drawing>
      </w:r>
    </w:p>
    <w:p>
      <w:pPr>
        <w:spacing w:after="160"/>
        <w:jc w:val="center"/>
      </w:pPr>
      <w:r>
        <w:rPr>
          <w:rFonts w:ascii="Calibri" w:hAnsi="Calibri"/>
          <w:b w:val="0"/>
          <w:i/>
          <w:color w:val="527267"/>
          <w:sz w:val="17"/>
        </w:rPr>
        <w:t>Lesson 6 visual anchor.</w:t>
      </w:r>
    </w:p>
    <w:p>
      <w:pPr>
        <w:spacing w:before="0" w:after="120" w:line="269" w:lineRule="auto"/>
      </w:pPr>
      <w:r>
        <w:rPr>
          <w:rFonts w:ascii="Calibri" w:hAnsi="Calibri"/>
          <w:b w:val="0"/>
          <w:i w:val="0"/>
          <w:color w:val="0B2A1F"/>
          <w:sz w:val="21"/>
        </w:rPr>
        <w:t>Growth brings tissue edges near each other. Contact is only the middle of the story. The medial epithelial seam is a temporary layer at the join. Seam cells must change or be removed so the finished palate is continuous. Cell death and epithelial-to-mesenchymal transition are two mechanisms scientists study; neither should be treated as the only explanation without evidence.</w:t>
      </w:r>
    </w:p>
    <w:tbl>
      <w:tblPr>
        <w:tblW w:type="auto" w:w="0"/>
        <w:jc w:val="left"/>
        <w:tblLayout w:type="fixed"/>
        <w:tblLook w:firstColumn="1" w:firstRow="1" w:lastColumn="0" w:lastRow="0" w:noHBand="0" w:noVBand="1" w:val="04A0"/>
      </w:tblPr>
      <w:tblGrid>
        <w:gridCol w:w="9648"/>
      </w:tblGrid>
      <w:tr>
        <w:tc>
          <w:tcPr>
            <w:tcW w:type="dxa" w:w="9360"/>
            <w:shd w:fill="EAF8F0"/>
            <w:tcMar>
              <w:top w:w="100" w:type="dxa"/>
              <w:start w:w="140" w:type="dxa"/>
              <w:bottom w:w="100" w:type="dxa"/>
              <w:end w:w="140" w:type="dxa"/>
            </w:tcMar>
            <w:vAlign w:val="center"/>
          </w:tcPr>
          <w:p>
            <w:pPr>
              <w:spacing w:after="40"/>
            </w:pPr>
            <w:r>
              <w:rPr>
                <w:rFonts w:ascii="Calibri" w:hAnsi="Calibri"/>
                <w:b/>
                <w:i w:val="0"/>
                <w:color w:val="2FD27A"/>
                <w:sz w:val="18"/>
              </w:rPr>
              <w:t xml:space="preserve">WORDS TO KEEP  </w:t>
            </w:r>
            <w:r>
              <w:rPr>
                <w:rFonts w:ascii="Calibri" w:hAnsi="Calibri"/>
                <w:b w:val="0"/>
                <w:i w:val="0"/>
                <w:color w:val="0B2A1F"/>
                <w:sz w:val="21"/>
              </w:rPr>
              <w:t>Vocabulary: seam = temporary joining layer; remodel = change or remove tissue to finish a structure; EMT = a cell-state change in which an epithelial cell becomes more mobile and mesenchymal-like.</w:t>
            </w:r>
          </w:p>
        </w:tc>
      </w:tr>
    </w:tbl>
    <w:p>
      <w:pPr>
        <w:spacing w:before="0" w:after="80" w:line="269" w:lineRule="auto"/>
      </w:pPr>
    </w:p>
    <w:tbl>
      <w:tblPr>
        <w:tblW w:type="auto" w:w="0"/>
        <w:jc w:val="left"/>
        <w:tblLayout w:type="fixed"/>
        <w:tblLook w:firstColumn="1" w:firstRow="1" w:lastColumn="0" w:lastRow="0" w:noHBand="0" w:noVBand="1" w:val="04A0"/>
      </w:tblPr>
      <w:tblGrid>
        <w:gridCol w:w="9648"/>
      </w:tblGrid>
      <w:tr>
        <w:tc>
          <w:tcPr>
            <w:tcW w:type="dxa" w:w="9360"/>
            <w:shd w:fill="FFF7D6"/>
            <w:tcMar>
              <w:top w:w="100" w:type="dxa"/>
              <w:start w:w="140" w:type="dxa"/>
              <w:bottom w:w="100" w:type="dxa"/>
              <w:end w:w="140" w:type="dxa"/>
            </w:tcMar>
            <w:vAlign w:val="center"/>
          </w:tcPr>
          <w:p>
            <w:pPr>
              <w:spacing w:after="40"/>
            </w:pPr>
            <w:r>
              <w:rPr>
                <w:rFonts w:ascii="Calibri" w:hAnsi="Calibri"/>
                <w:b/>
                <w:i w:val="0"/>
                <w:color w:val="F5C542"/>
                <w:sz w:val="18"/>
              </w:rPr>
              <w:t xml:space="preserve">USE IT NOW  </w:t>
            </w:r>
            <w:r>
              <w:rPr>
                <w:rFonts w:ascii="Calibri" w:hAnsi="Calibri"/>
                <w:b w:val="0"/>
                <w:i w:val="0"/>
                <w:color w:val="0B2A1F"/>
                <w:sz w:val="21"/>
              </w:rPr>
              <w:t>Use it now: Sequence the four steps in the seam figure: approach, contact, seam, remodeling.</w:t>
            </w:r>
          </w:p>
        </w:tc>
      </w:tr>
    </w:tbl>
    <w:p>
      <w:pPr>
        <w:spacing w:before="0" w:after="80" w:line="269" w:lineRule="auto"/>
      </w:pPr>
    </w:p>
    <w:p>
      <w:pPr>
        <w:spacing w:before="0" w:after="60" w:line="269" w:lineRule="auto"/>
      </w:pPr>
      <w:r>
        <w:rPr>
          <w:rFonts w:ascii="Calibri" w:hAnsi="Calibri"/>
          <w:b w:val="0"/>
          <w:i/>
          <w:color w:val="527267"/>
          <w:sz w:val="17"/>
        </w:rPr>
        <w:t>Optional link: Palatal fusion review: https://pmc.ncbi.nlm.nih.gov/articles/PMC3552505/</w:t>
      </w:r>
    </w:p>
    <w:p>
      <w:r>
        <w:br w:type="page"/>
      </w:r>
    </w:p>
    <w:p>
      <w:pPr>
        <w:pStyle w:val="Heading1"/>
      </w:pPr>
      <w:r>
        <w:t>Lesson 7 | A gene becomes a cell-behavior question</w:t>
      </w:r>
    </w:p>
    <w:p>
      <w:pPr>
        <w:spacing w:before="80" w:after="60"/>
        <w:jc w:val="center"/>
      </w:pPr>
      <w:r>
        <w:drawing>
          <wp:inline xmlns:a="http://schemas.openxmlformats.org/drawingml/2006/main" xmlns:pic="http://schemas.openxmlformats.org/drawingml/2006/picture">
            <wp:extent cx="5074920" cy="2856160"/>
            <wp:docPr id="8" name="Picture 8" descr="bio lesson 07 gene to protein"/>
            <wp:cNvGraphicFramePr>
              <a:graphicFrameLocks noChangeAspect="1"/>
            </wp:cNvGraphicFramePr>
            <a:graphic>
              <a:graphicData uri="http://schemas.openxmlformats.org/drawingml/2006/picture">
                <pic:pic>
                  <pic:nvPicPr>
                    <pic:cNvPr id="0" name="bio-lesson-07-gene-to-protein.png"/>
                    <pic:cNvPicPr/>
                  </pic:nvPicPr>
                  <pic:blipFill>
                    <a:blip r:embed="rId17"/>
                    <a:stretch>
                      <a:fillRect/>
                    </a:stretch>
                  </pic:blipFill>
                  <pic:spPr>
                    <a:xfrm>
                      <a:off x="0" y="0"/>
                      <a:ext cx="5074920" cy="2856160"/>
                    </a:xfrm>
                    <a:prstGeom prst="rect"/>
                  </pic:spPr>
                </pic:pic>
              </a:graphicData>
            </a:graphic>
          </wp:inline>
        </w:drawing>
      </w:r>
    </w:p>
    <w:p>
      <w:pPr>
        <w:spacing w:after="160"/>
        <w:jc w:val="center"/>
      </w:pPr>
      <w:r>
        <w:rPr>
          <w:rFonts w:ascii="Calibri" w:hAnsi="Calibri"/>
          <w:b w:val="0"/>
          <w:i/>
          <w:color w:val="527267"/>
          <w:sz w:val="17"/>
        </w:rPr>
        <w:t>Lesson 7 visual anchor.</w:t>
      </w:r>
    </w:p>
    <w:p>
      <w:pPr>
        <w:spacing w:before="0" w:after="120" w:line="269" w:lineRule="auto"/>
      </w:pPr>
      <w:r>
        <w:rPr>
          <w:rFonts w:ascii="Calibri" w:hAnsi="Calibri"/>
          <w:b w:val="0"/>
          <w:i w:val="0"/>
          <w:color w:val="0B2A1F"/>
          <w:sz w:val="21"/>
        </w:rPr>
        <w:t>A gene is DNA information. Cells copy a gene into RNA, and the RNA is used to build a protein. The protein can change cell behavior. IRF6 is one example connected to epithelial and periderm behavior during lip and palate development. A variant can change a protein, but the developmental outcome still depends on cell type, timing, other genes, and environment.</w:t>
      </w:r>
    </w:p>
    <w:tbl>
      <w:tblPr>
        <w:tblW w:type="auto" w:w="0"/>
        <w:jc w:val="left"/>
        <w:tblLayout w:type="fixed"/>
        <w:tblLook w:firstColumn="1" w:firstRow="1" w:lastColumn="0" w:lastRow="0" w:noHBand="0" w:noVBand="1" w:val="04A0"/>
      </w:tblPr>
      <w:tblGrid>
        <w:gridCol w:w="9648"/>
      </w:tblGrid>
      <w:tr>
        <w:tc>
          <w:tcPr>
            <w:tcW w:type="dxa" w:w="9360"/>
            <w:shd w:fill="EAF8F0"/>
            <w:tcMar>
              <w:top w:w="100" w:type="dxa"/>
              <w:start w:w="140" w:type="dxa"/>
              <w:bottom w:w="100" w:type="dxa"/>
              <w:end w:w="140" w:type="dxa"/>
            </w:tcMar>
            <w:vAlign w:val="center"/>
          </w:tcPr>
          <w:p>
            <w:pPr>
              <w:spacing w:after="40"/>
            </w:pPr>
            <w:r>
              <w:rPr>
                <w:rFonts w:ascii="Calibri" w:hAnsi="Calibri"/>
                <w:b/>
                <w:i w:val="0"/>
                <w:color w:val="2FD27A"/>
                <w:sz w:val="18"/>
              </w:rPr>
              <w:t xml:space="preserve">WORDS TO KEEP  </w:t>
            </w:r>
            <w:r>
              <w:rPr>
                <w:rFonts w:ascii="Calibri" w:hAnsi="Calibri"/>
                <w:b w:val="0"/>
                <w:i w:val="0"/>
                <w:color w:val="0B2A1F"/>
                <w:sz w:val="21"/>
              </w:rPr>
              <w:t>Vocabulary: gene = DNA information; RNA = a working copy of that information; protein = a molecule that does cell work; variant = a DNA difference.</w:t>
            </w:r>
          </w:p>
        </w:tc>
      </w:tr>
    </w:tbl>
    <w:p>
      <w:pPr>
        <w:spacing w:before="0" w:after="80" w:line="269" w:lineRule="auto"/>
      </w:pPr>
    </w:p>
    <w:tbl>
      <w:tblPr>
        <w:tblW w:type="auto" w:w="0"/>
        <w:jc w:val="left"/>
        <w:tblLayout w:type="fixed"/>
        <w:tblLook w:firstColumn="1" w:firstRow="1" w:lastColumn="0" w:lastRow="0" w:noHBand="0" w:noVBand="1" w:val="04A0"/>
      </w:tblPr>
      <w:tblGrid>
        <w:gridCol w:w="9648"/>
      </w:tblGrid>
      <w:tr>
        <w:tc>
          <w:tcPr>
            <w:tcW w:type="dxa" w:w="9360"/>
            <w:shd w:fill="FFF7D6"/>
            <w:tcMar>
              <w:top w:w="100" w:type="dxa"/>
              <w:start w:w="140" w:type="dxa"/>
              <w:bottom w:w="100" w:type="dxa"/>
              <w:end w:w="140" w:type="dxa"/>
            </w:tcMar>
            <w:vAlign w:val="center"/>
          </w:tcPr>
          <w:p>
            <w:pPr>
              <w:spacing w:after="40"/>
            </w:pPr>
            <w:r>
              <w:rPr>
                <w:rFonts w:ascii="Calibri" w:hAnsi="Calibri"/>
                <w:b/>
                <w:i w:val="0"/>
                <w:color w:val="F5C542"/>
                <w:sz w:val="18"/>
              </w:rPr>
              <w:t xml:space="preserve">USE IT NOW  </w:t>
            </w:r>
            <w:r>
              <w:rPr>
                <w:rFonts w:ascii="Calibri" w:hAnsi="Calibri"/>
                <w:b w:val="0"/>
                <w:i w:val="0"/>
                <w:color w:val="0B2A1F"/>
                <w:sz w:val="21"/>
              </w:rPr>
              <w:t>Use it now: Trace IRF6 from DNA to protein to cell behavior. End by naming one conclusion the evidence cannot support.</w:t>
            </w:r>
          </w:p>
        </w:tc>
      </w:tr>
    </w:tbl>
    <w:p>
      <w:pPr>
        <w:spacing w:before="0" w:after="80" w:line="269" w:lineRule="auto"/>
      </w:pPr>
    </w:p>
    <w:p>
      <w:pPr>
        <w:spacing w:before="0" w:after="60" w:line="269" w:lineRule="auto"/>
      </w:pPr>
      <w:r>
        <w:rPr>
          <w:rFonts w:ascii="Calibri" w:hAnsi="Calibri"/>
          <w:b w:val="0"/>
          <w:i/>
          <w:color w:val="527267"/>
          <w:sz w:val="17"/>
        </w:rPr>
        <w:t>Optional link: IRF6 and epithelial seam biology: https://pmc.ncbi.nlm.nih.gov/articles/PMC2659566/</w:t>
      </w:r>
    </w:p>
    <w:p>
      <w:pPr>
        <w:pStyle w:val="Heading1"/>
      </w:pPr>
      <w:r>
        <w:t>Glossary</w:t>
      </w:r>
    </w:p>
    <w:p>
      <w:pPr>
        <w:spacing w:before="0" w:after="120" w:line="269" w:lineRule="auto"/>
      </w:pPr>
      <w:r>
        <w:rPr>
          <w:rFonts w:ascii="Calibri" w:hAnsi="Calibri"/>
          <w:b w:val="0"/>
          <w:i/>
          <w:color w:val="527267"/>
          <w:sz w:val="20"/>
        </w:rPr>
        <w:t>Use these short definitions before you use the word in a claim.</w:t>
      </w:r>
    </w:p>
    <w:p>
      <w:pPr>
        <w:pStyle w:val="ListBullet"/>
        <w:spacing w:after="60"/>
      </w:pPr>
      <w:r>
        <w:rPr>
          <w:rFonts w:ascii="Calibri" w:hAnsi="Calibri"/>
          <w:b/>
          <w:i w:val="0"/>
          <w:color w:val="1F4D78"/>
          <w:sz w:val="21"/>
        </w:rPr>
        <w:t xml:space="preserve">apoptosis: </w:t>
      </w:r>
      <w:r>
        <w:rPr>
          <w:rFonts w:ascii="Calibri" w:hAnsi="Calibri"/>
          <w:b w:val="0"/>
          <w:i w:val="0"/>
          <w:color w:val="0B2A1F"/>
          <w:sz w:val="21"/>
        </w:rPr>
        <w:t>a controlled way a cell dies; it can help remove temporary tissue</w:t>
      </w:r>
    </w:p>
    <w:p>
      <w:pPr>
        <w:pStyle w:val="ListBullet"/>
        <w:spacing w:after="60"/>
      </w:pPr>
      <w:r>
        <w:rPr>
          <w:rFonts w:ascii="Calibri" w:hAnsi="Calibri"/>
          <w:b/>
          <w:i w:val="0"/>
          <w:color w:val="1F4D78"/>
          <w:sz w:val="21"/>
        </w:rPr>
        <w:t xml:space="preserve">cell fate: </w:t>
      </w:r>
      <w:r>
        <w:rPr>
          <w:rFonts w:ascii="Calibri" w:hAnsi="Calibri"/>
          <w:b w:val="0"/>
          <w:i w:val="0"/>
          <w:color w:val="0B2A1F"/>
          <w:sz w:val="21"/>
        </w:rPr>
        <w:t>the role or type of cell a cell becomes</w:t>
      </w:r>
    </w:p>
    <w:p>
      <w:pPr>
        <w:pStyle w:val="ListBullet"/>
        <w:spacing w:after="60"/>
      </w:pPr>
      <w:r>
        <w:rPr>
          <w:rFonts w:ascii="Calibri" w:hAnsi="Calibri"/>
          <w:b/>
          <w:i w:val="0"/>
          <w:color w:val="1F4D78"/>
          <w:sz w:val="21"/>
        </w:rPr>
        <w:t xml:space="preserve">cleft: </w:t>
      </w:r>
      <w:r>
        <w:rPr>
          <w:rFonts w:ascii="Calibri" w:hAnsi="Calibri"/>
          <w:b w:val="0"/>
          <w:i w:val="0"/>
          <w:color w:val="0B2A1F"/>
          <w:sz w:val="21"/>
        </w:rPr>
        <w:t>an opening left when a continuous lip or palate structure did not form</w:t>
      </w:r>
    </w:p>
    <w:p>
      <w:pPr>
        <w:pStyle w:val="ListBullet"/>
        <w:spacing w:after="60"/>
      </w:pPr>
      <w:r>
        <w:rPr>
          <w:rFonts w:ascii="Calibri" w:hAnsi="Calibri"/>
          <w:b/>
          <w:i w:val="0"/>
          <w:color w:val="1F4D78"/>
          <w:sz w:val="21"/>
        </w:rPr>
        <w:t xml:space="preserve">cue: </w:t>
      </w:r>
      <w:r>
        <w:rPr>
          <w:rFonts w:ascii="Calibri" w:hAnsi="Calibri"/>
          <w:b w:val="0"/>
          <w:i w:val="0"/>
          <w:color w:val="0B2A1F"/>
          <w:sz w:val="21"/>
        </w:rPr>
        <w:t>a signal from the cell or its surroundings that can change a choice</w:t>
      </w:r>
    </w:p>
    <w:p>
      <w:pPr>
        <w:pStyle w:val="ListBullet"/>
        <w:spacing w:after="60"/>
      </w:pPr>
      <w:r>
        <w:rPr>
          <w:rFonts w:ascii="Calibri" w:hAnsi="Calibri"/>
          <w:b/>
          <w:i w:val="0"/>
          <w:color w:val="1F4D78"/>
          <w:sz w:val="21"/>
        </w:rPr>
        <w:t xml:space="preserve">epithelium: </w:t>
      </w:r>
      <w:r>
        <w:rPr>
          <w:rFonts w:ascii="Calibri" w:hAnsi="Calibri"/>
          <w:b w:val="0"/>
          <w:i w:val="0"/>
          <w:color w:val="0B2A1F"/>
          <w:sz w:val="21"/>
        </w:rPr>
        <w:t>a sheet of cells that covers or lines a surface</w:t>
      </w:r>
    </w:p>
    <w:p>
      <w:pPr>
        <w:pStyle w:val="ListBullet"/>
        <w:spacing w:after="60"/>
      </w:pPr>
      <w:r>
        <w:rPr>
          <w:rFonts w:ascii="Calibri" w:hAnsi="Calibri"/>
          <w:b/>
          <w:i w:val="0"/>
          <w:color w:val="1F4D78"/>
          <w:sz w:val="21"/>
        </w:rPr>
        <w:t xml:space="preserve">fuse: </w:t>
      </w:r>
      <w:r>
        <w:rPr>
          <w:rFonts w:ascii="Calibri" w:hAnsi="Calibri"/>
          <w:b w:val="0"/>
          <w:i w:val="0"/>
          <w:color w:val="0B2A1F"/>
          <w:sz w:val="21"/>
        </w:rPr>
        <w:t>join two tissue edges into one continuous tissue</w:t>
      </w:r>
    </w:p>
    <w:p>
      <w:pPr>
        <w:pStyle w:val="ListBullet"/>
        <w:spacing w:after="60"/>
      </w:pPr>
      <w:r>
        <w:rPr>
          <w:rFonts w:ascii="Calibri" w:hAnsi="Calibri"/>
          <w:b/>
          <w:i w:val="0"/>
          <w:color w:val="1F4D78"/>
          <w:sz w:val="21"/>
        </w:rPr>
        <w:t xml:space="preserve">gene: </w:t>
      </w:r>
      <w:r>
        <w:rPr>
          <w:rFonts w:ascii="Calibri" w:hAnsi="Calibri"/>
          <w:b w:val="0"/>
          <w:i w:val="0"/>
          <w:color w:val="0B2A1F"/>
          <w:sz w:val="21"/>
        </w:rPr>
        <w:t>a stretch of DNA that carries information for a cell job</w:t>
      </w:r>
    </w:p>
    <w:p>
      <w:pPr>
        <w:pStyle w:val="ListBullet"/>
        <w:spacing w:after="60"/>
      </w:pPr>
      <w:r>
        <w:rPr>
          <w:rFonts w:ascii="Calibri" w:hAnsi="Calibri"/>
          <w:b/>
          <w:i w:val="0"/>
          <w:color w:val="1F4D78"/>
          <w:sz w:val="21"/>
        </w:rPr>
        <w:t xml:space="preserve">marker: </w:t>
      </w:r>
      <w:r>
        <w:rPr>
          <w:rFonts w:ascii="Calibri" w:hAnsi="Calibri"/>
          <w:b w:val="0"/>
          <w:i w:val="0"/>
          <w:color w:val="0B2A1F"/>
          <w:sz w:val="21"/>
        </w:rPr>
        <w:t>a label scientists use to track a cell or cell population</w:t>
      </w:r>
    </w:p>
    <w:p>
      <w:pPr>
        <w:pStyle w:val="ListBullet"/>
        <w:spacing w:after="60"/>
      </w:pPr>
      <w:r>
        <w:rPr>
          <w:rFonts w:ascii="Calibri" w:hAnsi="Calibri"/>
          <w:b/>
          <w:i w:val="0"/>
          <w:color w:val="1F4D78"/>
          <w:sz w:val="21"/>
        </w:rPr>
        <w:t xml:space="preserve">migrate: </w:t>
      </w:r>
      <w:r>
        <w:rPr>
          <w:rFonts w:ascii="Calibri" w:hAnsi="Calibri"/>
          <w:b w:val="0"/>
          <w:i w:val="0"/>
          <w:color w:val="0B2A1F"/>
          <w:sz w:val="21"/>
        </w:rPr>
        <w:t>move from one region to another</w:t>
      </w:r>
    </w:p>
    <w:p>
      <w:pPr>
        <w:pStyle w:val="ListBullet"/>
        <w:spacing w:after="60"/>
      </w:pPr>
      <w:r>
        <w:rPr>
          <w:rFonts w:ascii="Calibri" w:hAnsi="Calibri"/>
          <w:b/>
          <w:i w:val="0"/>
          <w:color w:val="1F4D78"/>
          <w:sz w:val="21"/>
        </w:rPr>
        <w:t xml:space="preserve">mesenchyme: </w:t>
      </w:r>
      <w:r>
        <w:rPr>
          <w:rFonts w:ascii="Calibri" w:hAnsi="Calibri"/>
          <w:b w:val="0"/>
          <w:i w:val="0"/>
          <w:color w:val="0B2A1F"/>
          <w:sz w:val="21"/>
        </w:rPr>
        <w:t>a flexible embryonic tissue that can help form support structures</w:t>
      </w:r>
    </w:p>
    <w:p>
      <w:pPr>
        <w:pStyle w:val="ListBullet"/>
        <w:spacing w:after="60"/>
      </w:pPr>
      <w:r>
        <w:rPr>
          <w:rFonts w:ascii="Calibri" w:hAnsi="Calibri"/>
          <w:b/>
          <w:i w:val="0"/>
          <w:color w:val="1F4D78"/>
          <w:sz w:val="21"/>
        </w:rPr>
        <w:t xml:space="preserve">prominence: </w:t>
      </w:r>
      <w:r>
        <w:rPr>
          <w:rFonts w:ascii="Calibri" w:hAnsi="Calibri"/>
          <w:b w:val="0"/>
          <w:i w:val="0"/>
          <w:color w:val="0B2A1F"/>
          <w:sz w:val="21"/>
        </w:rPr>
        <w:t>a facial tissue region that grows as the face is assembled</w:t>
      </w:r>
    </w:p>
    <w:p>
      <w:pPr>
        <w:pStyle w:val="ListBullet"/>
        <w:spacing w:after="60"/>
      </w:pPr>
      <w:r>
        <w:rPr>
          <w:rFonts w:ascii="Calibri" w:hAnsi="Calibri"/>
          <w:b/>
          <w:i w:val="0"/>
          <w:color w:val="1F4D78"/>
          <w:sz w:val="21"/>
        </w:rPr>
        <w:t xml:space="preserve">protein: </w:t>
      </w:r>
      <w:r>
        <w:rPr>
          <w:rFonts w:ascii="Calibri" w:hAnsi="Calibri"/>
          <w:b w:val="0"/>
          <w:i w:val="0"/>
          <w:color w:val="0B2A1F"/>
          <w:sz w:val="21"/>
        </w:rPr>
        <w:t>a molecule built by a cell that carries out a job</w:t>
      </w:r>
    </w:p>
    <w:p>
      <w:pPr>
        <w:pStyle w:val="ListBullet"/>
        <w:spacing w:after="60"/>
      </w:pPr>
      <w:r>
        <w:rPr>
          <w:rFonts w:ascii="Calibri" w:hAnsi="Calibri"/>
          <w:b/>
          <w:i w:val="0"/>
          <w:color w:val="1F4D78"/>
          <w:sz w:val="21"/>
        </w:rPr>
        <w:t xml:space="preserve">remodel: </w:t>
      </w:r>
      <w:r>
        <w:rPr>
          <w:rFonts w:ascii="Calibri" w:hAnsi="Calibri"/>
          <w:b w:val="0"/>
          <w:i w:val="0"/>
          <w:color w:val="0B2A1F"/>
          <w:sz w:val="21"/>
        </w:rPr>
        <w:t>change, reshape, or remove tissue to finish a structure</w:t>
      </w:r>
    </w:p>
    <w:p>
      <w:pPr>
        <w:pStyle w:val="ListBullet"/>
        <w:spacing w:after="60"/>
      </w:pPr>
      <w:r>
        <w:rPr>
          <w:rFonts w:ascii="Calibri" w:hAnsi="Calibri"/>
          <w:b/>
          <w:i w:val="0"/>
          <w:color w:val="1F4D78"/>
          <w:sz w:val="21"/>
        </w:rPr>
        <w:t xml:space="preserve">RNA: </w:t>
      </w:r>
      <w:r>
        <w:rPr>
          <w:rFonts w:ascii="Calibri" w:hAnsi="Calibri"/>
          <w:b w:val="0"/>
          <w:i w:val="0"/>
          <w:color w:val="0B2A1F"/>
          <w:sz w:val="21"/>
        </w:rPr>
        <w:t>a working copy of DNA information used to build a protein</w:t>
      </w:r>
    </w:p>
    <w:p>
      <w:pPr>
        <w:pStyle w:val="ListBullet"/>
        <w:spacing w:after="60"/>
      </w:pPr>
      <w:r>
        <w:rPr>
          <w:rFonts w:ascii="Calibri" w:hAnsi="Calibri"/>
          <w:b/>
          <w:i w:val="0"/>
          <w:color w:val="1F4D78"/>
          <w:sz w:val="21"/>
        </w:rPr>
        <w:t xml:space="preserve">seam: </w:t>
      </w:r>
      <w:r>
        <w:rPr>
          <w:rFonts w:ascii="Calibri" w:hAnsi="Calibri"/>
          <w:b w:val="0"/>
          <w:i w:val="0"/>
          <w:color w:val="0B2A1F"/>
          <w:sz w:val="21"/>
        </w:rPr>
        <w:t>the temporary cell layer where two tissue edges meet</w:t>
      </w:r>
    </w:p>
    <w:p>
      <w:pPr>
        <w:pStyle w:val="ListBullet"/>
        <w:spacing w:after="60"/>
      </w:pPr>
      <w:r>
        <w:rPr>
          <w:rFonts w:ascii="Calibri" w:hAnsi="Calibri"/>
          <w:b/>
          <w:i w:val="0"/>
          <w:color w:val="1F4D78"/>
          <w:sz w:val="21"/>
        </w:rPr>
        <w:t xml:space="preserve">variant: </w:t>
      </w:r>
      <w:r>
        <w:rPr>
          <w:rFonts w:ascii="Calibri" w:hAnsi="Calibri"/>
          <w:b w:val="0"/>
          <w:i w:val="0"/>
          <w:color w:val="0B2A1F"/>
          <w:sz w:val="21"/>
        </w:rPr>
        <w:t>a difference in DNA sequence</w:t>
      </w:r>
    </w:p>
    <w:p>
      <w:pPr>
        <w:pStyle w:val="Heading1"/>
      </w:pPr>
      <w:r>
        <w:t>Sources for enrichment</w:t>
      </w:r>
    </w:p>
    <w:p>
      <w:pPr>
        <w:spacing w:before="0" w:after="120" w:line="269" w:lineRule="auto"/>
      </w:pPr>
      <w:r>
        <w:rPr>
          <w:rFonts w:ascii="Calibri" w:hAnsi="Calibri"/>
          <w:b w:val="0"/>
          <w:i/>
          <w:color w:val="527267"/>
          <w:sz w:val="20"/>
        </w:rPr>
        <w:t>The seven lessons are self-contained. These links are for optional teacher or student follow-up, not required homework.</w:t>
      </w:r>
    </w:p>
    <w:p>
      <w:pPr>
        <w:pStyle w:val="ListBullet"/>
        <w:spacing w:after="60" w:line="259" w:lineRule="auto"/>
      </w:pPr>
      <w:r>
        <w:rPr>
          <w:rFonts w:ascii="Calibri" w:hAnsi="Calibri"/>
          <w:b w:val="0"/>
          <w:i w:val="0"/>
          <w:color w:val="0B2A1F"/>
          <w:sz w:val="21"/>
        </w:rPr>
        <w:t>National Institute of Dental and Craniofacial Research, Cleft Lip and Palate: https://www.nidcr.nih.gov/health-info/cleft-lip-palate</w:t>
      </w:r>
    </w:p>
    <w:p>
      <w:pPr>
        <w:pStyle w:val="ListBullet"/>
        <w:spacing w:after="60" w:line="259" w:lineRule="auto"/>
      </w:pPr>
      <w:r>
        <w:rPr>
          <w:rFonts w:ascii="Calibri" w:hAnsi="Calibri"/>
          <w:b w:val="0"/>
          <w:i w:val="0"/>
          <w:color w:val="0B2A1F"/>
          <w:sz w:val="21"/>
        </w:rPr>
        <w:t>Craniofacial development review, PubMed Central: https://pmc.ncbi.nlm.nih.gov/articles/PMC3039913/</w:t>
      </w:r>
    </w:p>
    <w:p>
      <w:pPr>
        <w:pStyle w:val="ListBullet"/>
        <w:spacing w:after="60" w:line="259" w:lineRule="auto"/>
      </w:pPr>
      <w:r>
        <w:rPr>
          <w:rFonts w:ascii="Calibri" w:hAnsi="Calibri"/>
          <w:b w:val="0"/>
          <w:i w:val="0"/>
          <w:color w:val="0B2A1F"/>
          <w:sz w:val="21"/>
        </w:rPr>
        <w:t>Cranial neural crest and facial development review, PubMed Central: https://pmc.ncbi.nlm.nih.gov/articles/PMC11072871/</w:t>
      </w:r>
    </w:p>
    <w:p>
      <w:pPr>
        <w:pStyle w:val="ListBullet"/>
        <w:spacing w:after="60" w:line="259" w:lineRule="auto"/>
      </w:pPr>
      <w:r>
        <w:rPr>
          <w:rFonts w:ascii="Calibri" w:hAnsi="Calibri"/>
          <w:b w:val="0"/>
          <w:i w:val="0"/>
          <w:color w:val="0B2A1F"/>
          <w:sz w:val="21"/>
        </w:rPr>
        <w:t>IRF6 and epithelial seam biology, PubMed Central: https://pmc.ncbi.nlm.nih.gov/articles/PMC2659566/</w:t>
      </w:r>
    </w:p>
    <w:p>
      <w:pPr>
        <w:pStyle w:val="ListBullet"/>
        <w:spacing w:after="60" w:line="259" w:lineRule="auto"/>
      </w:pPr>
      <w:r>
        <w:rPr>
          <w:rFonts w:ascii="Calibri" w:hAnsi="Calibri"/>
          <w:b w:val="0"/>
          <w:i w:val="0"/>
          <w:color w:val="0B2A1F"/>
          <w:sz w:val="21"/>
        </w:rPr>
        <w:t>Palatal fusion and seam remodeling review, PubMed Central: https://pmc.ncbi.nlm.nih.gov/articles/PMC3552505/</w:t>
      </w:r>
    </w:p>
    <w:sectPr w:rsidR="00FC693F" w:rsidRPr="0006063C" w:rsidSect="00034616">
      <w:headerReference w:type="default" r:id="rId9"/>
      <w:footerReference w:type="default" r:id="rId10"/>
      <w:pgSz w:w="12240" w:h="15840"/>
      <w:pgMar w:top="1080" w:right="1296" w:bottom="1080" w:left="1296" w:header="504" w:footer="504"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10="urn:schemas-microsoft-com:office:word" xmlns:w14="http://schemas.microsoft.com/office/word/2010/wordml" xmlns:w="http://schemas.openxmlformats.org/wordprocessingml/2006/main" xmlns:wne="http://schemas.microsoft.com/office/word/2006/wordml" xmlns:wp14="http://schemas.microsoft.com/office/word/2010/wordprocessingDrawing" xmlns:wp="http://schemas.openxmlformats.org/drawingml/2006/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p14">
  <w:p>
    <w:pPr>
      <w:pStyle w:val="Footer"/>
      <w:jc w:val="center"/>
    </w:pPr>
    <w:r>
      <w:rPr>
        <w:rFonts w:ascii="Calibri" w:hAnsi="Calibri"/>
        <w:b w:val="0"/>
        <w:i w:val="0"/>
        <w:color w:val="527267"/>
        <w:sz w:val="16"/>
      </w:rPr>
      <w:t>John Hay Biomedical  |  Student support material  |  Composite and educational</w:t>
    </w:r>
  </w:p>
</w:ftr>
</file>

<file path=word/header1.xml><?xml version="1.0" encoding="utf-8"?>
<w:hdr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10="urn:schemas-microsoft-com:office:word" xmlns:w14="http://schemas.microsoft.com/office/word/2010/wordml" xmlns:w="http://schemas.openxmlformats.org/wordprocessingml/2006/main" xmlns:wne="http://schemas.microsoft.com/office/word/2006/wordml" xmlns:wp14="http://schemas.microsoft.com/office/word/2010/wordprocessingDrawing" xmlns:wp="http://schemas.openxmlformats.org/drawingml/2006/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p14">
  <w:p>
    <w:pPr>
      <w:pStyle w:val="Header"/>
      <w:jc w:val="right"/>
    </w:pPr>
    <w:r>
      <w:rPr>
        <w:rFonts w:ascii="Calibri" w:hAnsi="Calibri"/>
        <w:b/>
        <w:i w:val="0"/>
        <w:color w:val="527267"/>
        <w:sz w:val="17"/>
      </w:rPr>
      <w:t>CRANIOFACIAL RESEARCH TRACK  |  STUDENT EXPLAINER PACK</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pPr>
      <w:spacing w:after="120" w:line="269" w:lineRule="auto"/>
    </w:pPr>
    <w:rPr>
      <w:rFonts w:ascii="Calibri" w:hAnsi="Calibri"/>
      <w:color w:val="0B2A1F"/>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280" w:after="120"/>
      <w:outlineLvl w:val="0"/>
    </w:pPr>
    <w:rPr>
      <w:rFonts w:asciiTheme="majorHAnsi" w:eastAsiaTheme="majorEastAsia" w:hAnsiTheme="majorHAnsi" w:cstheme="majorBidi" w:ascii="Calibri" w:hAnsi="Calibri"/>
      <w:b/>
      <w:bCs/>
      <w:color w:val="2FD27A"/>
      <w:sz w:val="34"/>
      <w:szCs w:val="28"/>
    </w:rPr>
  </w:style>
  <w:style w:type="paragraph" w:styleId="Heading2">
    <w:name w:val="heading 2"/>
    <w:basedOn w:val="Normal"/>
    <w:next w:val="Normal"/>
    <w:link w:val="Heading2Char"/>
    <w:uiPriority w:val="9"/>
    <w:unhideWhenUsed/>
    <w:qFormat/>
    <w:rsid w:val="00FC693F"/>
    <w:pPr>
      <w:keepNext/>
      <w:keepLines/>
      <w:spacing w:before="200" w:after="80"/>
      <w:outlineLvl w:val="1"/>
    </w:pPr>
    <w:rPr>
      <w:rFonts w:asciiTheme="majorHAnsi" w:eastAsiaTheme="majorEastAsia" w:hAnsiTheme="majorHAnsi" w:cstheme="majorBidi" w:ascii="Calibri" w:hAnsi="Calibri"/>
      <w:b/>
      <w:bCs/>
      <w:color w:val="1F4D78"/>
      <w:sz w:val="26"/>
      <w:szCs w:val="26"/>
    </w:rPr>
  </w:style>
  <w:style w:type="paragraph" w:styleId="Heading3">
    <w:name w:val="heading 3"/>
    <w:basedOn w:val="Normal"/>
    <w:next w:val="Normal"/>
    <w:link w:val="Heading3Char"/>
    <w:uiPriority w:val="9"/>
    <w:unhideWhenUsed/>
    <w:qFormat/>
    <w:rsid w:val="00FC693F"/>
    <w:pPr>
      <w:keepNext/>
      <w:keepLines/>
      <w:spacing w:before="160" w:after="60"/>
      <w:outlineLvl w:val="2"/>
    </w:pPr>
    <w:rPr>
      <w:rFonts w:asciiTheme="majorHAnsi" w:eastAsiaTheme="majorEastAsia" w:hAnsiTheme="majorHAnsi" w:cstheme="majorBidi" w:ascii="Calibri" w:hAnsi="Calibri"/>
      <w:b/>
      <w:bCs/>
      <w:color w:val="527267"/>
      <w:sz w:val="23"/>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header" Target="header1.xml"/><Relationship Id="rId10" Type="http://schemas.openxmlformats.org/officeDocument/2006/relationships/footer" Target="footer1.xml"/><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