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before="0" w:after="160" w:line="269" w:lineRule="auto"/>
      </w:pPr>
      <w:r>
        <w:rPr>
          <w:rFonts w:ascii="Calibri" w:hAnsi="Calibri"/>
          <w:b/>
          <w:i w:val="0"/>
          <w:color w:val="2FD27A"/>
          <w:sz w:val="18"/>
        </w:rPr>
        <w:t>STUDENT CASE FILE | CF-001</w:t>
      </w:r>
    </w:p>
    <w:p>
      <w:pPr>
        <w:spacing w:before="0" w:after="100" w:line="269" w:lineRule="auto"/>
      </w:pPr>
      <w:r>
        <w:rPr>
          <w:rFonts w:ascii="Calibri" w:hAnsi="Calibri"/>
          <w:b/>
          <w:i w:val="0"/>
          <w:color w:val="0B2A1F"/>
          <w:sz w:val="52"/>
        </w:rPr>
        <w:t>When a face does not finish one join</w:t>
      </w:r>
    </w:p>
    <w:p>
      <w:pPr>
        <w:spacing w:before="0" w:after="320" w:line="269" w:lineRule="auto"/>
      </w:pPr>
      <w:r>
        <w:rPr>
          <w:rFonts w:ascii="Calibri" w:hAnsi="Calibri"/>
          <w:b w:val="0"/>
          <w:i w:val="0"/>
          <w:color w:val="527267"/>
          <w:sz w:val="25"/>
        </w:rPr>
        <w:t>A complete, de-identified teaching record for the seven-lesson craniofacial research track</w:t>
      </w:r>
    </w:p>
    <w:p>
      <w:pPr>
        <w:spacing w:after="240"/>
        <w:pBdr>
          <w:bottom w:val="single" w:sz="12" w:space="1" w:color="2FD27A"/>
        </w:pBdr>
      </w:pP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5212080" cy="2933354"/>
            <wp:docPr id="1" name="Picture 1" descr="case file illustration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se-file-illustration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29333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Illustration: composite observation record. The image is not a photograph of a real patient.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READ FIRST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This is a teaching composite, not a real patient record. It contains no name, date of birth, address, or diagnosis. The case gives you enough evidence to reason, but not enough evidence to diagnose.</w:t>
            </w:r>
          </w:p>
        </w:tc>
      </w:tr>
    </w:tbl>
    <w:p>
      <w:pPr>
        <w:spacing w:before="0" w:after="80" w:line="269" w:lineRule="auto"/>
      </w:pP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4824"/>
        <w:gridCol w:w="4824"/>
      </w:tblGrid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Case code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CF-001</w:t>
            </w:r>
          </w:p>
        </w:tc>
      </w:tr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Record type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Composite developmental biology case</w:t>
            </w:r>
          </w:p>
        </w:tc>
      </w:tr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Observation window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Early development, reconstructed from the developmental timeline</w:t>
            </w:r>
          </w:p>
        </w:tc>
      </w:tr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Source type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Teaching synthesis from published craniofacial biology</w:t>
            </w:r>
          </w:p>
        </w:tc>
      </w:tr>
    </w:tbl>
    <w:p>
      <w:pPr>
        <w:spacing w:before="0" w:after="80" w:line="269" w:lineRule="auto"/>
      </w:pPr>
    </w:p>
    <w:p>
      <w:r>
        <w:br w:type="page"/>
      </w:r>
    </w:p>
    <w:p>
      <w:pPr>
        <w:pStyle w:val="Heading1"/>
      </w:pPr>
      <w:r>
        <w:t>1. The presenting observations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A newborn teaching case is described with two observations: an opening in one side of the upper lip and an opening in the roof of the mouth. The record does not assign a diagnosis. Your job is to identify the developmental step that could explain each observation and to name the next evidence you would want.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2FD27A"/>
                <w:sz w:val="18"/>
              </w:rPr>
              <w:t xml:space="preserve">KNOWN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Two structural observations are recorded. The timing of facial development matters.</w:t>
            </w:r>
          </w:p>
        </w:tc>
      </w:tr>
    </w:tbl>
    <w:p>
      <w:pPr>
        <w:spacing w:before="0" w:after="80" w:line="269" w:lineRule="auto"/>
      </w:pP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4F7F5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527267"/>
                <w:sz w:val="18"/>
              </w:rPr>
              <w:t xml:space="preserve">UNKNOWN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The exact cell behavior, pathway, gene effect, and developmental time point that changed.</w:t>
            </w:r>
          </w:p>
        </w:tc>
      </w:tr>
    </w:tbl>
    <w:p>
      <w:pPr>
        <w:spacing w:before="0" w:after="80" w:line="269" w:lineRule="auto"/>
      </w:pPr>
    </w:p>
    <w:p>
      <w:pPr>
        <w:spacing w:before="0" w:after="120" w:line="269" w:lineRule="auto"/>
      </w:pPr>
      <w:r>
        <w:rPr>
          <w:rFonts w:ascii="Calibri" w:hAnsi="Calibri"/>
          <w:b/>
          <w:i w:val="0"/>
          <w:color w:val="0B2A1F"/>
          <w:sz w:val="21"/>
        </w:rPr>
        <w:t>Do not jump from an observation to a cause. First separate what you can see from what you still need to test.</w:t>
      </w:r>
    </w:p>
    <w:p>
      <w:pPr>
        <w:pStyle w:val="Heading2"/>
      </w:pPr>
      <w:r>
        <w:t>Socratic opening questions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Which words in the record are observations rather than explanations?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What must have happened for two tissue edges to become one continuous surface?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Which missing fact would most change your next question: location, timing, cell behavior, or gene activity?</w:t>
      </w:r>
    </w:p>
    <w:p>
      <w:r>
        <w:br w:type="page"/>
      </w:r>
    </w:p>
    <w:p>
      <w:pPr>
        <w:pStyle w:val="Heading1"/>
      </w:pPr>
      <w:r>
        <w:t>2. Developmental timeline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Use this timeline as the unit clock. It is intentionally broad: the goal is to reason about sequence and timing, not to memorize one exact day.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3216"/>
        <w:gridCol w:w="3216"/>
        <w:gridCol w:w="3216"/>
      </w:tblGrid>
      <w:tr>
        <w:tc>
          <w:tcPr>
            <w:tcW w:type="dxa" w:w="1656"/>
            <w:shd w:fill="0B2A1F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/>
                <w:i w:val="0"/>
                <w:color w:val="FFFFFF"/>
                <w:sz w:val="18"/>
              </w:rPr>
              <w:t>Window</w:t>
            </w:r>
          </w:p>
        </w:tc>
        <w:tc>
          <w:tcPr>
            <w:tcW w:type="dxa" w:w="3528"/>
            <w:shd w:fill="0B2A1F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/>
                <w:i w:val="0"/>
                <w:color w:val="FFFFFF"/>
                <w:sz w:val="18"/>
              </w:rPr>
              <w:t>Building step</w:t>
            </w:r>
          </w:p>
        </w:tc>
        <w:tc>
          <w:tcPr>
            <w:tcW w:type="dxa" w:w="4176"/>
            <w:shd w:fill="0B2A1F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/>
                <w:i w:val="0"/>
                <w:color w:val="FFFFFF"/>
                <w:sz w:val="18"/>
              </w:rPr>
              <w:t>Question to carry</w:t>
            </w:r>
          </w:p>
        </w:tc>
      </w:tr>
      <w:tr>
        <w:tc>
          <w:tcPr>
            <w:tcW w:type="dxa" w:w="1656"/>
            <w:tcMar>
              <w:top w:w="100" w:type="dxa"/>
              <w:start w:w="140" w:type="dxa"/>
              <w:bottom w:w="100" w:type="dxa"/>
              <w:end w:w="140" w:type="dxa"/>
            </w:tcMar>
            <w:shd w:fill="FFF7D6"/>
          </w:tcPr>
          <w:p>
            <w:r>
              <w:rPr>
                <w:rFonts w:ascii="Calibri" w:hAnsi="Calibri"/>
                <w:b/>
                <w:i w:val="0"/>
                <w:color w:val="0B2A1F"/>
                <w:sz w:val="19"/>
              </w:rPr>
              <w:t>Weeks 4-5</w:t>
            </w:r>
          </w:p>
        </w:tc>
        <w:tc>
          <w:tcPr>
            <w:tcW w:type="dxa" w:w="3528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 w:val="0"/>
                <w:i w:val="0"/>
                <w:color w:val="0B2A1F"/>
                <w:sz w:val="19"/>
              </w:rPr>
              <w:t>Facial prominences form and grow.</w:t>
            </w:r>
          </w:p>
        </w:tc>
        <w:tc>
          <w:tcPr>
            <w:tcW w:type="dxa" w:w="4176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 w:val="0"/>
                <w:i w:val="0"/>
                <w:color w:val="0B2A1F"/>
                <w:sz w:val="19"/>
              </w:rPr>
              <w:t>Where are the parts before they join?</w:t>
            </w:r>
          </w:p>
        </w:tc>
      </w:tr>
      <w:tr>
        <w:tc>
          <w:tcPr>
            <w:tcW w:type="dxa" w:w="1656"/>
            <w:tcMar>
              <w:top w:w="100" w:type="dxa"/>
              <w:start w:w="140" w:type="dxa"/>
              <w:bottom w:w="100" w:type="dxa"/>
              <w:end w:w="140" w:type="dxa"/>
            </w:tcMar>
            <w:shd w:fill="FFF7D6"/>
          </w:tcPr>
          <w:p>
            <w:r>
              <w:rPr>
                <w:rFonts w:ascii="Calibri" w:hAnsi="Calibri"/>
                <w:b/>
                <w:i w:val="0"/>
                <w:color w:val="0B2A1F"/>
                <w:sz w:val="19"/>
              </w:rPr>
              <w:t>Weeks 6-7</w:t>
            </w:r>
          </w:p>
        </w:tc>
        <w:tc>
          <w:tcPr>
            <w:tcW w:type="dxa" w:w="3528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 w:val="0"/>
                <w:i w:val="0"/>
                <w:color w:val="0B2A1F"/>
                <w:sz w:val="19"/>
              </w:rPr>
              <w:t>Upper-lip and primary-palate regions approach and fuse.</w:t>
            </w:r>
          </w:p>
        </w:tc>
        <w:tc>
          <w:tcPr>
            <w:tcW w:type="dxa" w:w="4176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 w:val="0"/>
                <w:i w:val="0"/>
                <w:color w:val="0B2A1F"/>
                <w:sz w:val="19"/>
              </w:rPr>
              <w:t>What must meet, and when?</w:t>
            </w:r>
          </w:p>
        </w:tc>
      </w:tr>
      <w:tr>
        <w:tc>
          <w:tcPr>
            <w:tcW w:type="dxa" w:w="1656"/>
            <w:tcMar>
              <w:top w:w="100" w:type="dxa"/>
              <w:start w:w="140" w:type="dxa"/>
              <w:bottom w:w="100" w:type="dxa"/>
              <w:end w:w="140" w:type="dxa"/>
            </w:tcMar>
            <w:shd w:fill="FFF7D6"/>
          </w:tcPr>
          <w:p>
            <w:r>
              <w:rPr>
                <w:rFonts w:ascii="Calibri" w:hAnsi="Calibri"/>
                <w:b/>
                <w:i w:val="0"/>
                <w:color w:val="0B2A1F"/>
                <w:sz w:val="19"/>
              </w:rPr>
              <w:t>Weeks 8-12</w:t>
            </w:r>
          </w:p>
        </w:tc>
        <w:tc>
          <w:tcPr>
            <w:tcW w:type="dxa" w:w="3528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 w:val="0"/>
                <w:i w:val="0"/>
                <w:color w:val="0B2A1F"/>
                <w:sz w:val="19"/>
              </w:rPr>
              <w:t>Palate shelves elevate, contact, and remodel the seam.</w:t>
            </w:r>
          </w:p>
        </w:tc>
        <w:tc>
          <w:tcPr>
            <w:tcW w:type="dxa" w:w="4176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 w:val="0"/>
                <w:i w:val="0"/>
                <w:color w:val="0B2A1F"/>
                <w:sz w:val="19"/>
              </w:rPr>
              <w:t>Is the issue growth, contact, or remodeling?</w:t>
            </w:r>
          </w:p>
        </w:tc>
      </w:tr>
      <w:tr>
        <w:tc>
          <w:tcPr>
            <w:tcW w:type="dxa" w:w="1656"/>
            <w:tcMar>
              <w:top w:w="100" w:type="dxa"/>
              <w:start w:w="140" w:type="dxa"/>
              <w:bottom w:w="100" w:type="dxa"/>
              <w:end w:w="140" w:type="dxa"/>
            </w:tcMar>
            <w:shd w:fill="FFF7D6"/>
          </w:tcPr>
          <w:p>
            <w:r>
              <w:rPr>
                <w:rFonts w:ascii="Calibri" w:hAnsi="Calibri"/>
                <w:b/>
                <w:i w:val="0"/>
                <w:color w:val="0B2A1F"/>
                <w:sz w:val="19"/>
              </w:rPr>
              <w:t>Across windows</w:t>
            </w:r>
          </w:p>
        </w:tc>
        <w:tc>
          <w:tcPr>
            <w:tcW w:type="dxa" w:w="3528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 w:val="0"/>
                <w:i w:val="0"/>
                <w:color w:val="0B2A1F"/>
                <w:sz w:val="19"/>
              </w:rPr>
              <w:t>Cells move, change identity, and respond to signals.</w:t>
            </w:r>
          </w:p>
        </w:tc>
        <w:tc>
          <w:tcPr>
            <w:tcW w:type="dxa" w:w="4176"/>
            <w:tcMar>
              <w:top w:w="100" w:type="dxa"/>
              <w:start w:w="140" w:type="dxa"/>
              <w:bottom w:w="100" w:type="dxa"/>
              <w:end w:w="140" w:type="dxa"/>
            </w:tcMar>
          </w:tcPr>
          <w:p>
            <w:r>
              <w:rPr>
                <w:rFonts w:ascii="Calibri" w:hAnsi="Calibri"/>
                <w:b w:val="0"/>
                <w:i w:val="0"/>
                <w:color w:val="0B2A1F"/>
                <w:sz w:val="19"/>
              </w:rPr>
              <w:t>Which cell behavior is the next test?</w:t>
            </w:r>
          </w:p>
        </w:tc>
      </w:tr>
    </w:tbl>
    <w:p>
      <w:pPr>
        <w:spacing w:before="0" w:after="80" w:line="269" w:lineRule="auto"/>
      </w:pP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5577840" cy="3139203"/>
            <wp:docPr id="2" name="Picture 2" descr="bio lesson 02 face build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2-face-build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1392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Figure 1. A simplified face-building sequence. Arrows show order, not exact scale.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DECISION POINT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If a structure is present but an opening remains, decide whether the stronger first hypothesis is insufficient growth, missed contact, or failed remodeling.</w:t>
            </w:r>
          </w:p>
        </w:tc>
      </w:tr>
    </w:tbl>
    <w:p>
      <w:pPr>
        <w:spacing w:before="0" w:after="80" w:line="269" w:lineRule="auto"/>
      </w:pPr>
    </w:p>
    <w:p>
      <w:r>
        <w:br w:type="page"/>
      </w:r>
    </w:p>
    <w:p>
      <w:pPr>
        <w:pStyle w:val="Heading1"/>
      </w:pPr>
      <w:r>
        <w:t>3. Evidence cards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Each card has a claim ceiling. The ceiling tells you exactly how far the evidence lets you go. A good scientist stops at the ceiling and writes the next test.</w:t>
      </w:r>
    </w:p>
    <w:p>
      <w:pPr>
        <w:pStyle w:val="Heading2"/>
      </w:pPr>
      <w:r>
        <w:t>IRF6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IRF6 is a gene. Its protein helps epithelial and periderm cells behave correctly during developing lip and palate tissue.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4F7F5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527267"/>
                <w:sz w:val="18"/>
              </w:rPr>
              <w:t xml:space="preserve">CLAIM CEILING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This card supports a question about cell behavior and fusion conditions. It does not diagnose CF-001 or prove that IRF6 is the only cause.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WNT9B and WNT signaling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WNT9B is one gene linked to signaling pathways that help position and time facial patterning.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4F7F5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527267"/>
                <w:sz w:val="18"/>
              </w:rPr>
              <w:t xml:space="preserve">CLAIM CEILING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This card supports a question about a cue, location, or timing window. It does not assign blame to a family or a single gene.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SOX10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SOX10 can be used as a marker to follow neural crest populations in a model embryo.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4F7F5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527267"/>
                <w:sz w:val="18"/>
              </w:rPr>
              <w:t xml:space="preserve">CLAIM CEILING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A marker shows where a population is or how it changes. It does not, by itself, prove what caused the change.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WNT, RUNX2, and SOX9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A cell-fate decision uses interacting gene programs. WNT/β-catenin can support an osteogenic path, while SOX9 is associated with a cartilage path; RUNX2 helps support bone programs.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4F7F5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527267"/>
                <w:sz w:val="18"/>
              </w:rPr>
              <w:t xml:space="preserve">CLAIM CEILING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The useful claim is that cues and internal state bias a choice. It is not a single magical switch.</w:t>
            </w:r>
          </w:p>
        </w:tc>
      </w:tr>
    </w:tbl>
    <w:p>
      <w:pPr>
        <w:spacing w:before="0" w:after="80" w:line="269" w:lineRule="auto"/>
      </w:pPr>
    </w:p>
    <w:p>
      <w:pPr>
        <w:pStyle w:val="Heading2"/>
      </w:pPr>
      <w:r>
        <w:t>TGFB3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TGFB3 signaling is studied in palatal fusion and medial epithelial seam remodeling after the shelves contact.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4F7F5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527267"/>
                <w:sz w:val="18"/>
              </w:rPr>
              <w:t xml:space="preserve">CLAIM CEILING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This card lets you separate growth, contact, and remodeling. It does not make every cleft a TGFB3 story.</w:t>
            </w:r>
          </w:p>
        </w:tc>
      </w:tr>
    </w:tbl>
    <w:p>
      <w:pPr>
        <w:spacing w:before="0" w:after="80" w:line="269" w:lineRule="auto"/>
      </w:pPr>
    </w:p>
    <w:p>
      <w:r>
        <w:br w:type="page"/>
      </w:r>
    </w:p>
    <w:p>
      <w:pPr>
        <w:pStyle w:val="Heading1"/>
      </w:pPr>
      <w:r>
        <w:t>4. Visual evidence dossier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Use the figures as evidence cards. Label the step you see, then write one sentence that stays within the claim ceiling.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5577840" cy="3139203"/>
            <wp:docPr id="3" name="Picture 3" descr="bio lesson 04 neural crest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4-neural-cres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1392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Figure 2. Neural crest cells begin in one region, migrate, and contribute to facial tissues.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5577840" cy="3139203"/>
            <wp:docPr id="4" name="Picture 4" descr="bio lesson 03 fusion gap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3-fusion-gap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1392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Figure 3. Contact and a remaining gap are different observations.</w:t>
      </w:r>
    </w:p>
    <w:p>
      <w:r>
        <w:br w:type="page"/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5577840" cy="3139203"/>
            <wp:docPr id="5" name="Picture 5" descr="bio lesson 06 seam remodel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6-seam-remodeling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1392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Figure 4. After contact, the seam must be remodeled for a continuous surface.</w:t>
      </w:r>
    </w:p>
    <w:p>
      <w:pPr>
        <w:spacing w:before="80" w:after="60"/>
        <w:jc w:val="center"/>
      </w:pPr>
      <w:r>
        <w:drawing>
          <wp:inline xmlns:a="http://schemas.openxmlformats.org/drawingml/2006/main" xmlns:pic="http://schemas.openxmlformats.org/drawingml/2006/picture">
            <wp:extent cx="5577840" cy="3139203"/>
            <wp:docPr id="6" name="Picture 6" descr="bio lesson 07 gene to protein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io-lesson-07-gene-to-protein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1392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160"/>
        <w:jc w:val="center"/>
      </w:pPr>
      <w:r>
        <w:rPr>
          <w:rFonts w:ascii="Calibri" w:hAnsi="Calibri"/>
          <w:b w:val="0"/>
          <w:i/>
          <w:color w:val="527267"/>
          <w:sz w:val="17"/>
        </w:rPr>
        <w:t>Figure 5. A gene instruction becomes RNA, protein, and cell behavior.</w:t>
      </w:r>
    </w:p>
    <w:p>
      <w:r>
        <w:br w:type="page"/>
      </w:r>
    </w:p>
    <w:p>
      <w:pPr>
        <w:pStyle w:val="Heading1"/>
      </w:pPr>
      <w:r>
        <w:t>5. Case board: make the next decision</w:t>
      </w:r>
    </w:p>
    <w:p>
      <w:pPr>
        <w:spacing w:before="0" w:after="120" w:line="269" w:lineRule="auto"/>
      </w:pPr>
      <w:r>
        <w:rPr>
          <w:rFonts w:ascii="Calibri" w:hAnsi="Calibri"/>
          <w:b w:val="0"/>
          <w:i w:val="0"/>
          <w:color w:val="0B2A1F"/>
          <w:sz w:val="21"/>
        </w:rPr>
        <w:t>Work from the record and evidence cards. You do not need a live web search. Your answer should name a process, cite one supplied card or figure, and state what the evidence cannot tell you.</w:t>
      </w: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4824"/>
        <w:gridCol w:w="4824"/>
      </w:tblGrid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Observation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____________________________________________________________</w:t>
            </w:r>
          </w:p>
        </w:tc>
      </w:tr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Developmental process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____________________________________________________________</w:t>
            </w:r>
          </w:p>
        </w:tc>
      </w:tr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Evidence card or figure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____________________________________________________________</w:t>
            </w:r>
          </w:p>
        </w:tc>
      </w:tr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Decision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The strongest next test is _____________________________________</w:t>
            </w:r>
          </w:p>
        </w:tc>
      </w:tr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Reason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Because ______________________________________________________</w:t>
            </w:r>
          </w:p>
        </w:tc>
      </w:tr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Claim ceiling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This evidence does not let me conclude ________________________</w:t>
            </w:r>
          </w:p>
        </w:tc>
      </w:tr>
      <w:tr>
        <w:tc>
          <w:tcPr>
            <w:tcW w:type="dxa" w:w="2232"/>
            <w:shd w:fill="EAF8F0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/>
                <w:i w:val="0"/>
                <w:color w:val="527267"/>
                <w:sz w:val="19"/>
              </w:rPr>
              <w:t>Next question</w:t>
            </w:r>
          </w:p>
        </w:tc>
        <w:tc>
          <w:tcPr>
            <w:tcW w:type="dxa" w:w="7128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r>
              <w:rPr>
                <w:rFonts w:ascii="Calibri" w:hAnsi="Calibri"/>
                <w:b w:val="0"/>
                <w:i w:val="0"/>
                <w:color w:val="0B2A1F"/>
                <w:sz w:val="20"/>
              </w:rPr>
              <w:t>____________________________________________________________</w:t>
            </w:r>
          </w:p>
        </w:tc>
      </w:tr>
    </w:tbl>
    <w:p>
      <w:pPr>
        <w:spacing w:before="0" w:after="80" w:line="269" w:lineRule="auto"/>
      </w:pPr>
    </w:p>
    <w:tbl>
      <w:tblPr>
        <w:tblW w:type="auto" w:w="0"/>
        <w:jc w:val="left"/>
        <w:tblLayout w:type="fixed"/>
        <w:tblLook w:firstColumn="1" w:firstRow="1" w:lastColumn="0" w:lastRow="0" w:noHBand="0" w:noVBand="1" w:val="04A0"/>
      </w:tblPr>
      <w:tblGrid>
        <w:gridCol w:w="9648"/>
      </w:tblGrid>
      <w:tr>
        <w:tc>
          <w:tcPr>
            <w:tcW w:type="dxa" w:w="9360"/>
            <w:shd w:fill="FFF7D6"/>
            <w:tcMar>
              <w:top w:w="100" w:type="dxa"/>
              <w:start w:w="140" w:type="dxa"/>
              <w:bottom w:w="100" w:type="dxa"/>
              <w:end w:w="140" w:type="dxa"/>
            </w:tcMar>
            <w:vAlign w:val="center"/>
          </w:tcPr>
          <w:p>
            <w:pPr>
              <w:spacing w:after="40"/>
            </w:pPr>
            <w:r>
              <w:rPr>
                <w:rFonts w:ascii="Calibri" w:hAnsi="Calibri"/>
                <w:b/>
                <w:i w:val="0"/>
                <w:color w:val="F5C542"/>
                <w:sz w:val="18"/>
              </w:rPr>
              <w:t xml:space="preserve">UNIT BOUNDARY  </w:t>
            </w:r>
            <w:r>
              <w:rPr>
                <w:rFonts w:ascii="Calibri" w:hAnsi="Calibri"/>
                <w:b w:val="0"/>
                <w:i w:val="0"/>
                <w:color w:val="0B2A1F"/>
                <w:sz w:val="21"/>
              </w:rPr>
              <w:t>Everything needed for the seven lessons is in the decks, this case file, and the student explainer pack. Web sources are enrichment only.</w:t>
            </w:r>
          </w:p>
        </w:tc>
      </w:tr>
    </w:tbl>
    <w:p>
      <w:pPr>
        <w:spacing w:before="0" w:after="80" w:line="269" w:lineRule="auto"/>
      </w:pPr>
    </w:p>
    <w:p>
      <w:pPr>
        <w:pStyle w:val="Heading1"/>
      </w:pPr>
      <w:r>
        <w:t>Sources for enrichment</w:t>
      </w:r>
    </w:p>
    <w:p>
      <w:pPr>
        <w:spacing w:before="0" w:after="120" w:line="269" w:lineRule="auto"/>
      </w:pPr>
      <w:r>
        <w:rPr>
          <w:rFonts w:ascii="Calibri" w:hAnsi="Calibri"/>
          <w:b w:val="0"/>
          <w:i/>
          <w:color w:val="527267"/>
          <w:sz w:val="20"/>
        </w:rPr>
        <w:t>The seven lessons are self-contained. These links are for optional teacher or student follow-up, not required homework.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National Institute of Dental and Craniofacial Research, Cleft Lip and Palate: https://www.nidcr.nih.gov/health-info/cleft-lip-palate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Craniofacial development review, PubMed Central: https://pmc.ncbi.nlm.nih.gov/articles/PMC3039913/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Cranial neural crest and facial development review, PubMed Central: https://pmc.ncbi.nlm.nih.gov/articles/PMC11072871/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IRF6 and epithelial seam biology, PubMed Central: https://pmc.ncbi.nlm.nih.gov/articles/PMC2659566/</w:t>
      </w:r>
    </w:p>
    <w:p>
      <w:pPr>
        <w:pStyle w:val="ListBullet"/>
        <w:spacing w:after="60" w:line="259" w:lineRule="auto"/>
      </w:pPr>
      <w:r>
        <w:rPr>
          <w:rFonts w:ascii="Calibri" w:hAnsi="Calibri"/>
          <w:b w:val="0"/>
          <w:i w:val="0"/>
          <w:color w:val="0B2A1F"/>
          <w:sz w:val="21"/>
        </w:rPr>
        <w:t>Palatal fusion and seam remodeling review, PubMed Central: https://pmc.ncbi.nlm.nih.gov/articles/PMC3552505/</w:t>
      </w:r>
    </w:p>
    <w:sectPr w:rsidR="00FC693F" w:rsidRPr="0006063C" w:rsidSect="00034616">
      <w:headerReference w:type="default" r:id="rId9"/>
      <w:footerReference w:type="default" r:id="rId10"/>
      <w:pgSz w:w="12240" w:h="15840"/>
      <w:pgMar w:top="1080" w:right="1296" w:bottom="1080" w:left="1296" w:header="504" w:footer="504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Footer"/>
      <w:jc w:val="center"/>
    </w:pPr>
    <w:r>
      <w:rPr>
        <w:rFonts w:ascii="Calibri" w:hAnsi="Calibri"/>
        <w:b w:val="0"/>
        <w:i w:val="0"/>
        <w:color w:val="527267"/>
        <w:sz w:val="16"/>
      </w:rPr>
      <w:t>John Hay Biomedical  |  Student support material  |  Composite and educational</w:t>
    </w:r>
  </w:p>
</w:ftr>
</file>

<file path=word/header1.xml><?xml version="1.0" encoding="utf-8"?>
<w:hdr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="http://schemas.openxmlformats.org/wordprocessingml/2006/main" xmlns:wne="http://schemas.microsoft.com/office/word/2006/wordml" xmlns:wp14="http://schemas.microsoft.com/office/word/2010/wordprocessingDrawing" xmlns:wp="http://schemas.openxmlformats.org/drawingml/2006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p>
    <w:pPr>
      <w:pStyle w:val="Header"/>
      <w:jc w:val="right"/>
    </w:pPr>
    <w:r>
      <w:rPr>
        <w:rFonts w:ascii="Calibri" w:hAnsi="Calibri"/>
        <w:b/>
        <w:i w:val="0"/>
        <w:color w:val="527267"/>
        <w:sz w:val="17"/>
      </w:rPr>
      <w:t>CRANIOFACIAL RESEARCH TRACK  |  COMPOSITE CASE FILE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pPr>
      <w:spacing w:after="120" w:line="269" w:lineRule="auto"/>
    </w:pPr>
    <w:rPr>
      <w:rFonts w:ascii="Calibri" w:hAnsi="Calibri"/>
      <w:color w:val="0B2A1F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280" w:after="120"/>
      <w:outlineLvl w:val="0"/>
    </w:pPr>
    <w:rPr>
      <w:rFonts w:asciiTheme="majorHAnsi" w:eastAsiaTheme="majorEastAsia" w:hAnsiTheme="majorHAnsi" w:cstheme="majorBidi" w:ascii="Calibri" w:hAnsi="Calibri"/>
      <w:b/>
      <w:bCs/>
      <w:color w:val="2FD27A"/>
      <w:sz w:val="3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80"/>
      <w:outlineLvl w:val="1"/>
    </w:pPr>
    <w:rPr>
      <w:rFonts w:asciiTheme="majorHAnsi" w:eastAsiaTheme="majorEastAsia" w:hAnsiTheme="majorHAnsi" w:cstheme="majorBidi" w:ascii="Calibri" w:hAnsi="Calibri"/>
      <w:b/>
      <w:bCs/>
      <w:color w:val="1F4D78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160" w:after="60"/>
      <w:outlineLvl w:val="2"/>
    </w:pPr>
    <w:rPr>
      <w:rFonts w:asciiTheme="majorHAnsi" w:eastAsiaTheme="majorEastAsia" w:hAnsiTheme="majorHAnsi" w:cstheme="majorBidi" w:ascii="Calibri" w:hAnsi="Calibri"/>
      <w:b/>
      <w:bCs/>
      <w:color w:val="527267"/>
      <w:sz w:val="23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image" Target="media/image1.pn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