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60"/>
      </w:pPr>
      <w:r>
        <w:rPr>
          <w:rFonts w:ascii="Aptos" w:hAnsi="Aptos"/>
          <w:b/>
          <w:color w:val="2FD27A"/>
          <w:sz w:val="20"/>
        </w:rPr>
        <w:t>SESSION 1  |  PBS: ASKING TESTABLE QUESTIONS</w:t>
      </w:r>
    </w:p>
    <w:p>
      <w:pPr>
        <w:spacing w:after="80"/>
        <w:pBdr>
          <w:bottom w:val="single" w:sz="12" w:space="5" w:color="2FD27A"/>
        </w:pBdr>
      </w:pPr>
      <w:r>
        <w:rPr>
          <w:rFonts w:ascii="Aptos" w:hAnsi="Aptos"/>
          <w:b/>
          <w:color w:val="06170F"/>
          <w:sz w:val="52"/>
        </w:rPr>
        <w:t>Meet Mateo</w:t>
      </w:r>
    </w:p>
    <w:p>
      <w:pPr>
        <w:spacing w:after="160" w:line="264" w:lineRule="auto"/>
      </w:pPr>
      <w:r>
        <w:rPr>
          <w:rFonts w:ascii="Aptos" w:hAnsi="Aptos"/>
          <w:b w:val="0"/>
          <w:color w:val="276044"/>
          <w:sz w:val="24"/>
        </w:rPr>
        <w:t>Essential question: What questions would a research lab ask first?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shd w:fill="EAF6EF"/>
            <w:tcMar>
              <w:top w:w="160" w:type="dxa"/>
              <w:start w:w="180" w:type="dxa"/>
              <w:bottom w:w="160" w:type="dxa"/>
              <w:end w:w="180" w:type="dxa"/>
            </w:tcMar>
          </w:tcPr>
          <w:p>
            <w:r>
              <w:rPr>
                <w:rFonts w:ascii="Aptos" w:hAnsi="Aptos"/>
                <w:b/>
                <w:color w:val="147744"/>
                <w:sz w:val="18"/>
              </w:rPr>
              <w:t xml:space="preserve">TODAY'S TAKE-HOME  </w:t>
            </w:r>
            <w:r>
              <w:rPr>
                <w:rFonts w:ascii="Aptos" w:hAnsi="Aptos"/>
                <w:b/>
                <w:color w:val="06170F"/>
                <w:sz w:val="24"/>
              </w:rPr>
              <w:t>A patient story becomes science when we turn what we notice into questions we can investigate.</w:t>
            </w:r>
          </w:p>
        </w:tc>
      </w:tr>
    </w:tbl>
    <w:p>
      <w:pPr>
        <w:spacing w:before="180" w:after="60"/>
      </w:pPr>
      <w:r>
        <w:rPr>
          <w:rFonts w:ascii="Aptos" w:hAnsi="Aptos"/>
          <w:b/>
          <w:color w:val="06170F"/>
          <w:sz w:val="26"/>
        </w:rPr>
        <w:t>Bring yesterday forward</w:t>
      </w:r>
    </w:p>
    <w:p>
      <w:pPr>
        <w:spacing w:after="140" w:line="264" w:lineRule="auto"/>
      </w:pPr>
      <w:r>
        <w:rPr>
          <w:rFonts w:ascii="Aptos" w:hAnsi="Aptos"/>
          <w:b w:val="0"/>
          <w:color w:val="276044"/>
          <w:sz w:val="21"/>
        </w:rPr>
        <w:t>Start here: careful observation is the first scientific tool.</w:t>
      </w:r>
    </w:p>
    <w:p>
      <w:pPr>
        <w:spacing w:after="60"/>
      </w:pPr>
      <w:r>
        <w:rPr>
          <w:rFonts w:ascii="Aptos" w:hAnsi="Aptos"/>
          <w:b/>
          <w:color w:val="06170F"/>
          <w:sz w:val="26"/>
        </w:rPr>
        <w:t>Quick reading</w:t>
      </w:r>
    </w:p>
    <w:p>
      <w:pPr>
        <w:spacing w:after="60" w:line="264" w:lineRule="auto"/>
      </w:pPr>
      <w:r>
        <w:rPr>
          <w:rFonts w:ascii="Aptos" w:hAnsi="Aptos"/>
          <w:b w:val="0"/>
          <w:color w:val="276044"/>
          <w:sz w:val="21"/>
        </w:rPr>
        <w:t>An observation is what the record shows. A testable question asks what evidence could help us learn next. Keep those two jobs separate.</w:t>
      </w:r>
    </w:p>
    <w:p>
      <w:pPr>
        <w:spacing w:after="140" w:line="264" w:lineRule="auto"/>
      </w:pPr>
      <w:r>
        <w:rPr>
          <w:rFonts w:ascii="Aptos" w:hAnsi="Aptos"/>
          <w:b w:val="0"/>
          <w:color w:val="4F6D5C"/>
          <w:sz w:val="17"/>
        </w:rPr>
        <w:t>Optional reading: https://www.nidcr.nih.gov/health-info/cleft-lip-palate</w:t>
      </w:r>
    </w:p>
    <w:p>
      <w:pPr>
        <w:spacing w:after="60"/>
      </w:pPr>
      <w:r>
        <w:rPr>
          <w:rFonts w:ascii="Aptos" w:hAnsi="Aptos"/>
          <w:b/>
          <w:color w:val="06170F"/>
          <w:sz w:val="26"/>
        </w:rPr>
        <w:t>Deck map</w:t>
      </w:r>
    </w:p>
    <w:p>
      <w:pPr>
        <w:spacing w:after="140" w:line="264" w:lineRule="auto"/>
      </w:pPr>
      <w:r>
        <w:rPr>
          <w:rFonts w:ascii="Aptos" w:hAnsi="Aptos"/>
          <w:b w:val="0"/>
          <w:color w:val="4F6D5C"/>
          <w:sz w:val="19"/>
        </w:rPr>
        <w:t>Slides 5-6: study and question the picture  |  Slide 7: name the rule  |  Slide 8: read the biology evidence  |  Slides 9-11: transfer and decide  |  Slides 12-13: exit and bridge.</w:t>
      </w:r>
    </w:p>
    <w:p>
      <w:pPr>
        <w:spacing w:after="60"/>
      </w:pPr>
      <w:r>
        <w:rPr>
          <w:rFonts w:ascii="Aptos" w:hAnsi="Aptos"/>
          <w:b/>
          <w:color w:val="06170F"/>
          <w:sz w:val="26"/>
        </w:rPr>
        <w:t>The visual in words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123C2A"/>
            <w:tcMar>
              <w:top w:w="120" w:type="dxa"/>
              <w:start w:w="100" w:type="dxa"/>
              <w:bottom w:w="120" w:type="dxa"/>
              <w:end w:w="10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/>
                <w:b/>
                <w:color w:val="FFFFFF"/>
                <w:sz w:val="19"/>
              </w:rPr>
              <w:t>Observe</w:t>
            </w:r>
          </w:p>
        </w:tc>
        <w:tc>
          <w:tcPr>
            <w:tcW w:type="dxa" w:w="3408"/>
            <w:shd w:fill="123C2A"/>
            <w:tcMar>
              <w:top w:w="120" w:type="dxa"/>
              <w:start w:w="100" w:type="dxa"/>
              <w:bottom w:w="120" w:type="dxa"/>
              <w:end w:w="10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/>
                <w:b/>
                <w:color w:val="FFFFFF"/>
                <w:sz w:val="19"/>
              </w:rPr>
              <w:t>Name what is unknown</w:t>
            </w:r>
          </w:p>
        </w:tc>
        <w:tc>
          <w:tcPr>
            <w:tcW w:type="dxa" w:w="3408"/>
            <w:shd w:fill="2FD27A"/>
            <w:tcMar>
              <w:top w:w="120" w:type="dxa"/>
              <w:start w:w="100" w:type="dxa"/>
              <w:bottom w:w="120" w:type="dxa"/>
              <w:end w:w="10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/>
                <w:b/>
                <w:color w:val="06170F"/>
                <w:sz w:val="19"/>
              </w:rPr>
              <w:t>Ask a testable question</w:t>
            </w:r>
          </w:p>
        </w:tc>
      </w:tr>
    </w:tbl>
    <w:p>
      <w:pPr>
        <w:spacing w:before="200" w:after="60"/>
      </w:pPr>
      <w:r>
        <w:rPr>
          <w:rFonts w:ascii="Aptos" w:hAnsi="Aptos"/>
          <w:b/>
          <w:color w:val="06170F"/>
          <w:sz w:val="26"/>
        </w:rPr>
        <w:t>Build the idea</w:t>
      </w:r>
    </w:p>
    <w:p>
      <w:pPr>
        <w:spacing w:after="80" w:line="264" w:lineRule="auto"/>
      </w:pPr>
      <w:r>
        <w:rPr>
          <w:rFonts w:ascii="Aptos" w:hAnsi="Aptos"/>
          <w:b w:val="0"/>
          <w:color w:val="276044"/>
          <w:sz w:val="21"/>
        </w:rPr>
        <w:t>Model start: Mateo has an opening in the upper lip and roof of the mouth. I wonder which normal building step did not finish.</w:t>
      </w:r>
    </w:p>
    <w:p>
      <w:pPr>
        <w:pStyle w:val="ListBullet"/>
        <w:spacing w:after="80"/>
      </w:pPr>
      <w:r>
        <w:rPr>
          <w:rFonts w:ascii="Aptos" w:hAnsi="Aptos"/>
          <w:b w:val="0"/>
          <w:color w:val="06170F"/>
          <w:sz w:val="21"/>
        </w:rPr>
        <w:t>Record two observations without explaining them yet.</w:t>
      </w:r>
    </w:p>
    <w:p>
      <w:pPr>
        <w:spacing w:after="80"/>
        <w:ind w:left="403"/>
      </w:pPr>
      <w:r>
        <w:rPr>
          <w:rFonts w:ascii="Aptos" w:hAnsi="Aptos"/>
          <w:b w:val="0"/>
          <w:color w:val="7C9888"/>
          <w:sz w:val="18"/>
        </w:rPr>
        <w:t>________________________________________________________________________________</w:t>
      </w:r>
    </w:p>
    <w:p>
      <w:pPr>
        <w:pStyle w:val="ListBullet"/>
        <w:spacing w:after="80"/>
      </w:pPr>
      <w:r>
        <w:rPr>
          <w:rFonts w:ascii="Aptos" w:hAnsi="Aptos"/>
          <w:b w:val="0"/>
          <w:color w:val="06170F"/>
          <w:sz w:val="21"/>
        </w:rPr>
        <w:t>Write two How questions and two Why questions.</w:t>
      </w:r>
    </w:p>
    <w:p>
      <w:pPr>
        <w:spacing w:after="80"/>
        <w:ind w:left="403"/>
      </w:pPr>
      <w:r>
        <w:rPr>
          <w:rFonts w:ascii="Aptos" w:hAnsi="Aptos"/>
          <w:b w:val="0"/>
          <w:color w:val="7C9888"/>
          <w:sz w:val="18"/>
        </w:rPr>
        <w:t>________________________________________________________________________________</w:t>
      </w:r>
    </w:p>
    <w:p>
      <w:pPr>
        <w:pStyle w:val="ListBullet"/>
        <w:spacing w:after="80"/>
      </w:pPr>
      <w:r>
        <w:rPr>
          <w:rFonts w:ascii="Aptos" w:hAnsi="Aptos"/>
          <w:b w:val="0"/>
          <w:color w:val="06170F"/>
          <w:sz w:val="21"/>
        </w:rPr>
        <w:t>Revise one question so evidence could help answer it.</w:t>
      </w:r>
    </w:p>
    <w:p>
      <w:pPr>
        <w:spacing w:after="80"/>
        <w:ind w:left="403"/>
      </w:pPr>
      <w:r>
        <w:rPr>
          <w:rFonts w:ascii="Aptos" w:hAnsi="Aptos"/>
          <w:b w:val="0"/>
          <w:color w:val="7C9888"/>
          <w:sz w:val="18"/>
        </w:rPr>
        <w:t>________________________________________________________________________________</w:t>
      </w:r>
    </w:p>
    <w:p>
      <w:r>
        <w:br w:type="page"/>
      </w:r>
    </w:p>
    <w:p>
      <w:pPr>
        <w:spacing w:after="60"/>
      </w:pPr>
      <w:r>
        <w:rPr>
          <w:rFonts w:ascii="Aptos" w:hAnsi="Aptos"/>
          <w:b/>
          <w:color w:val="06170F"/>
          <w:sz w:val="32"/>
        </w:rPr>
        <w:t>Use the analogy, then return to the science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fill="F5C542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>
              <w:rPr>
                <w:rFonts w:ascii="Aptos" w:hAnsi="Aptos"/>
                <w:b/>
                <w:color w:val="06170F"/>
                <w:sz w:val="20"/>
              </w:rPr>
              <w:t>ANALOGY</w:t>
            </w:r>
          </w:p>
        </w:tc>
        <w:tc>
          <w:tcPr>
            <w:tcW w:type="dxa" w:w="5112"/>
            <w:shd w:fill="123C2A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BIOLOGY</w:t>
            </w:r>
          </w:p>
        </w:tc>
      </w:tr>
      <w:tr>
        <w:tc>
          <w:tcPr>
            <w:tcW w:type="dxa" w:w="5112"/>
            <w:tcMar>
              <w:top w:w="150" w:type="dxa"/>
              <w:start w:w="150" w:type="dxa"/>
              <w:bottom w:w="150" w:type="dxa"/>
              <w:end w:w="150" w:type="dxa"/>
            </w:tcMar>
          </w:tcPr>
          <w:p>
            <w:r>
              <w:rPr>
                <w:rFonts w:ascii="Aptos" w:hAnsi="Aptos"/>
                <w:b w:val="0"/>
                <w:color w:val="06170F"/>
                <w:sz w:val="21"/>
              </w:rPr>
              <w:t>Detective notebook</w:t>
            </w:r>
          </w:p>
        </w:tc>
        <w:tc>
          <w:tcPr>
            <w:tcW w:type="dxa" w:w="5112"/>
            <w:tcMar>
              <w:top w:w="150" w:type="dxa"/>
              <w:start w:w="150" w:type="dxa"/>
              <w:bottom w:w="150" w:type="dxa"/>
              <w:end w:w="150" w:type="dxa"/>
            </w:tcMar>
          </w:tcPr>
          <w:p>
            <w:r>
              <w:rPr>
                <w:rFonts w:ascii="Aptos" w:hAnsi="Aptos"/>
                <w:b w:val="0"/>
                <w:color w:val="06170F"/>
                <w:sz w:val="21"/>
              </w:rPr>
              <w:t>Facts go in one column. Questions that evidence could answer go in the other.</w:t>
            </w:r>
          </w:p>
        </w:tc>
      </w:tr>
    </w:tbl>
    <w:p>
      <w:pPr>
        <w:spacing w:before="240" w:after="60"/>
      </w:pPr>
      <w:r>
        <w:rPr>
          <w:rFonts w:ascii="Aptos" w:hAnsi="Aptos"/>
          <w:b/>
          <w:color w:val="06170F"/>
          <w:sz w:val="26"/>
        </w:rPr>
        <w:t>Apply the model to Mateo</w:t>
      </w:r>
    </w:p>
    <w:p>
      <w:pPr>
        <w:spacing w:after="100" w:line="264" w:lineRule="auto"/>
      </w:pPr>
      <w:r>
        <w:rPr>
          <w:rFonts w:ascii="Aptos" w:hAnsi="Aptos"/>
          <w:b w:val="0"/>
          <w:color w:val="276044"/>
          <w:sz w:val="21"/>
        </w:rPr>
        <w:t>Mateo is a composite teaching case built from published science. No real patient information is used.</w:t>
      </w:r>
    </w:p>
    <w:p>
      <w:pPr>
        <w:spacing w:after="40" w:line="264" w:lineRule="auto"/>
      </w:pPr>
      <w:r>
        <w:rPr>
          <w:rFonts w:ascii="Aptos" w:hAnsi="Aptos"/>
          <w:b/>
          <w:color w:val="06170F"/>
          <w:sz w:val="21"/>
        </w:rPr>
        <w:t>What can this lesson explain? What cannot it prove?</w:t>
      </w:r>
    </w:p>
    <w:p>
      <w:pPr>
        <w:spacing w:after="60"/>
      </w:pPr>
      <w:r>
        <w:rPr>
          <w:rFonts w:ascii="Aptos" w:hAnsi="Aptos"/>
          <w:b w:val="0"/>
          <w:color w:val="7C9888"/>
          <w:sz w:val="18"/>
        </w:rPr>
        <w:t>________________________________________________________________________________</w:t>
      </w:r>
    </w:p>
    <w:p>
      <w:pPr>
        <w:spacing w:after="60"/>
      </w:pPr>
      <w:r>
        <w:rPr>
          <w:rFonts w:ascii="Aptos" w:hAnsi="Aptos"/>
          <w:b w:val="0"/>
          <w:color w:val="7C9888"/>
          <w:sz w:val="18"/>
        </w:rPr>
        <w:t>________________________________________________________________________________</w:t>
      </w:r>
    </w:p>
    <w:p>
      <w:pPr>
        <w:spacing w:after="60"/>
      </w:pPr>
      <w:r>
        <w:rPr>
          <w:rFonts w:ascii="Aptos" w:hAnsi="Aptos"/>
          <w:b w:val="0"/>
          <w:color w:val="7C9888"/>
          <w:sz w:val="18"/>
        </w:rPr>
        <w:t>________________________________________________________________________________</w:t>
      </w:r>
    </w:p>
    <w:p>
      <w:pPr>
        <w:spacing w:before="200" w:after="60"/>
      </w:pPr>
      <w:r>
        <w:rPr>
          <w:rFonts w:ascii="Aptos" w:hAnsi="Aptos"/>
          <w:b/>
          <w:color w:val="06170F"/>
          <w:sz w:val="26"/>
        </w:rPr>
        <w:t>Exit ticket and next unlock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fill="EAF6EF"/>
            <w:tcMar>
              <w:top w:w="140" w:type="dxa"/>
              <w:start w:w="150" w:type="dxa"/>
              <w:bottom w:w="140" w:type="dxa"/>
              <w:end w:w="150" w:type="dxa"/>
            </w:tcMar>
          </w:tcPr>
          <w:p>
            <w:r>
              <w:rPr>
                <w:rFonts w:ascii="Aptos" w:hAnsi="Aptos"/>
                <w:b/>
                <w:color w:val="147744"/>
                <w:sz w:val="18"/>
              </w:rPr>
              <w:t>EXIT</w:t>
              <w:br/>
            </w:r>
            <w:r>
              <w:rPr>
                <w:rFonts w:ascii="Aptos" w:hAnsi="Aptos"/>
                <w:b/>
                <w:color w:val="06170F"/>
                <w:sz w:val="21"/>
              </w:rPr>
              <w:t>Turn one observation into one testable question.</w:t>
            </w:r>
          </w:p>
        </w:tc>
        <w:tc>
          <w:tcPr>
            <w:tcW w:type="dxa" w:w="5112"/>
            <w:shd w:fill="E1F6E9"/>
            <w:tcMar>
              <w:top w:w="140" w:type="dxa"/>
              <w:start w:w="150" w:type="dxa"/>
              <w:bottom w:w="140" w:type="dxa"/>
              <w:end w:w="150" w:type="dxa"/>
            </w:tcMar>
          </w:tcPr>
          <w:p>
            <w:r>
              <w:rPr>
                <w:rFonts w:ascii="Aptos" w:hAnsi="Aptos"/>
                <w:b/>
                <w:color w:val="147744"/>
                <w:sz w:val="18"/>
              </w:rPr>
              <w:t>NEXT</w:t>
              <w:br/>
            </w:r>
            <w:r>
              <w:rPr>
                <w:rFonts w:ascii="Aptos" w:hAnsi="Aptos"/>
                <w:b/>
                <w:color w:val="06170F"/>
                <w:sz w:val="21"/>
              </w:rPr>
              <w:t>If we could watch development, what would we see happening to the face?</w:t>
            </w:r>
          </w:p>
        </w:tc>
      </w:tr>
    </w:tbl>
    <w:p>
      <w:pPr>
        <w:spacing w:before="200" w:after="40"/>
      </w:pPr>
      <w:r>
        <w:rPr>
          <w:rFonts w:ascii="Aptos" w:hAnsi="Aptos"/>
          <w:b/>
          <w:color w:val="06170F"/>
          <w:sz w:val="23"/>
        </w:rPr>
        <w:t>Four truths check</w:t>
      </w:r>
    </w:p>
    <w:p>
      <w:pPr>
        <w:spacing w:after="0" w:line="264" w:lineRule="auto"/>
      </w:pPr>
      <w:r>
        <w:rPr>
          <w:rFonts w:ascii="Aptos" w:hAnsi="Aptos"/>
          <w:b w:val="0"/>
          <w:color w:val="276044"/>
          <w:sz w:val="20"/>
        </w:rPr>
        <w:t>Truth 4: Developmental processes can go wrong.  Circle the part of today’s notes that supports this truth.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835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ptos" w:hAnsi="Aptos"/>
        <w:b w:val="0"/>
        <w:color w:val="4F6D5C"/>
        <w:sz w:val="16"/>
      </w:rPr>
      <w:t>Session 1  |  John Hay Biomedical  |  Record • Reduce • Review • Reflect • Recite • Revise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ptos" w:hAnsi="Aptos"/>
        <w:b/>
        <w:color w:val="4F6D5C"/>
        <w:sz w:val="17"/>
      </w:rPr>
      <w:t>CRANIOFACIAL RESEARCH TRACK  |  GUIDED NOTES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